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36E7" w14:textId="77777777" w:rsidR="00DB77AE" w:rsidRPr="006109D3" w:rsidRDefault="00DB77AE" w:rsidP="00AD7E94">
      <w:pPr>
        <w:jc w:val="center"/>
        <w:rPr>
          <w:b/>
          <w:i/>
        </w:rPr>
      </w:pPr>
      <w:bookmarkStart w:id="0" w:name="_Hlk4766476"/>
      <w:r w:rsidRPr="006109D3">
        <w:rPr>
          <w:b/>
          <w:i/>
        </w:rPr>
        <w:t>Embed</w:t>
      </w:r>
      <w:r w:rsidR="00806789">
        <w:rPr>
          <w:b/>
          <w:i/>
        </w:rPr>
        <w:t>ding</w:t>
      </w:r>
      <w:r w:rsidRPr="006109D3">
        <w:rPr>
          <w:b/>
          <w:i/>
        </w:rPr>
        <w:t xml:space="preserve"> the Social Determinants of Health in Practice</w:t>
      </w:r>
    </w:p>
    <w:p w14:paraId="633E4376" w14:textId="77777777" w:rsidR="00DB77AE" w:rsidRPr="006109D3" w:rsidRDefault="00DB77AE" w:rsidP="00DB77AE">
      <w:pPr>
        <w:jc w:val="center"/>
        <w:rPr>
          <w:b/>
          <w:i/>
        </w:rPr>
      </w:pPr>
      <w:r w:rsidRPr="006109D3">
        <w:rPr>
          <w:b/>
          <w:i/>
        </w:rPr>
        <w:t>Meeting of Wave I Communities</w:t>
      </w:r>
    </w:p>
    <w:bookmarkEnd w:id="0"/>
    <w:p w14:paraId="66AEF655" w14:textId="77777777" w:rsidR="00DB77AE" w:rsidRPr="00DB77AE" w:rsidRDefault="001E1694" w:rsidP="00DB77AE">
      <w:pPr>
        <w:jc w:val="center"/>
        <w:rPr>
          <w:i/>
        </w:rPr>
      </w:pPr>
      <w:r>
        <w:rPr>
          <w:i/>
        </w:rPr>
        <w:t>Minutes</w:t>
      </w:r>
    </w:p>
    <w:p w14:paraId="612D0D5E" w14:textId="77777777" w:rsidR="00A81B1D" w:rsidRPr="004839FF" w:rsidRDefault="00A81B1D" w:rsidP="00A81B1D">
      <w:pPr>
        <w:spacing w:before="240"/>
        <w:ind w:left="720"/>
      </w:pPr>
      <w:r w:rsidRPr="00A81B1D">
        <w:rPr>
          <w:b/>
        </w:rPr>
        <w:t xml:space="preserve">Participants: </w:t>
      </w:r>
      <w:r w:rsidR="004839FF">
        <w:t>Embed team (</w:t>
      </w:r>
      <w:r w:rsidRPr="004839FF">
        <w:t>T</w:t>
      </w:r>
      <w:r>
        <w:t>erry, Diana), Andrew Earnshaw</w:t>
      </w:r>
      <w:r w:rsidR="004839FF">
        <w:t xml:space="preserve"> and Lee MacKay (Kootenay Boundary</w:t>
      </w:r>
      <w:proofErr w:type="gramStart"/>
      <w:r w:rsidR="004839FF">
        <w:t xml:space="preserve">) </w:t>
      </w:r>
      <w:r>
        <w:t>,</w:t>
      </w:r>
      <w:proofErr w:type="gramEnd"/>
      <w:r>
        <w:t xml:space="preserve"> </w:t>
      </w:r>
      <w:r w:rsidRPr="004839FF">
        <w:t xml:space="preserve">Bonnie </w:t>
      </w:r>
      <w:proofErr w:type="spellStart"/>
      <w:r w:rsidRPr="004839FF">
        <w:t>B</w:t>
      </w:r>
      <w:r>
        <w:t>a</w:t>
      </w:r>
      <w:r w:rsidR="004839FF">
        <w:t>gdan</w:t>
      </w:r>
      <w:proofErr w:type="spellEnd"/>
      <w:r w:rsidR="004839FF">
        <w:t xml:space="preserve"> and Janet Bryden,  (Comox Valley] ;</w:t>
      </w:r>
      <w:r w:rsidR="004839FF" w:rsidRPr="004839FF">
        <w:t xml:space="preserve"> </w:t>
      </w:r>
      <w:r w:rsidR="004839FF">
        <w:t>Fiona Duncan (Vancouver); Megan Hunter (</w:t>
      </w:r>
      <w:r w:rsidRPr="004839FF">
        <w:t>Prince George</w:t>
      </w:r>
      <w:r w:rsidR="004839FF">
        <w:t>)</w:t>
      </w:r>
      <w:r w:rsidRPr="004839FF">
        <w:t>;</w:t>
      </w:r>
      <w:r w:rsidR="004839FF">
        <w:t xml:space="preserve"> Liaisons Team  Angela </w:t>
      </w:r>
      <w:proofErr w:type="spellStart"/>
      <w:r w:rsidR="004839FF">
        <w:t>Thachuck</w:t>
      </w:r>
      <w:proofErr w:type="spellEnd"/>
      <w:r w:rsidR="004839FF">
        <w:t xml:space="preserve">, </w:t>
      </w:r>
      <w:r w:rsidRPr="004839FF">
        <w:t>Marina Mc</w:t>
      </w:r>
      <w:r w:rsidR="004839FF">
        <w:t xml:space="preserve">Bride, </w:t>
      </w:r>
      <w:r w:rsidRPr="004839FF">
        <w:t>Paula Carr</w:t>
      </w:r>
    </w:p>
    <w:p w14:paraId="1866BDF8" w14:textId="77777777" w:rsidR="00F375ED" w:rsidRDefault="00AD7E94" w:rsidP="00A32C44">
      <w:pPr>
        <w:spacing w:before="0" w:after="120"/>
        <w:ind w:left="720"/>
      </w:pPr>
      <w:r>
        <w:t xml:space="preserve"> </w:t>
      </w:r>
    </w:p>
    <w:p w14:paraId="38929F5F" w14:textId="77777777" w:rsidR="00A81B1D" w:rsidRDefault="00A81B1D" w:rsidP="004839FF">
      <w:pPr>
        <w:pStyle w:val="ListParagraph"/>
        <w:numPr>
          <w:ilvl w:val="0"/>
          <w:numId w:val="0"/>
        </w:numPr>
        <w:ind w:left="294"/>
      </w:pPr>
      <w:r>
        <w:t>1.</w:t>
      </w:r>
      <w:r>
        <w:tab/>
      </w:r>
      <w:r w:rsidR="004B7AB8">
        <w:rPr>
          <w:u w:val="single"/>
        </w:rPr>
        <w:t>Meeting purpose:</w:t>
      </w:r>
      <w:r w:rsidR="004B7AB8">
        <w:t xml:space="preserve"> </w:t>
      </w:r>
      <w:r>
        <w:tab/>
      </w:r>
    </w:p>
    <w:p w14:paraId="6BF8D5E7" w14:textId="77777777" w:rsidR="005D5A34" w:rsidRDefault="004B7AB8" w:rsidP="004839FF">
      <w:pPr>
        <w:pStyle w:val="ListParagraph"/>
        <w:numPr>
          <w:ilvl w:val="0"/>
          <w:numId w:val="8"/>
        </w:numPr>
      </w:pPr>
      <w:r>
        <w:t>T</w:t>
      </w:r>
      <w:r w:rsidR="005D5A34">
        <w:t>o introduce and implement a Community of Practice (CoP) framework</w:t>
      </w:r>
      <w:r>
        <w:t>,</w:t>
      </w:r>
      <w:r w:rsidR="005D5A34">
        <w:t xml:space="preserve"> allow</w:t>
      </w:r>
      <w:r>
        <w:t>ing</w:t>
      </w:r>
      <w:r w:rsidR="005D5A34">
        <w:t xml:space="preserve"> space for dialogue between participants and set</w:t>
      </w:r>
      <w:r>
        <w:t>ting</w:t>
      </w:r>
      <w:r w:rsidR="005D5A34">
        <w:t xml:space="preserve"> the stage for future work.  </w:t>
      </w:r>
    </w:p>
    <w:p w14:paraId="4432E951" w14:textId="77777777" w:rsidR="00A81B1D" w:rsidRDefault="00A81B1D" w:rsidP="004839FF">
      <w:pPr>
        <w:pStyle w:val="ListParagraph"/>
        <w:numPr>
          <w:ilvl w:val="0"/>
          <w:numId w:val="0"/>
        </w:numPr>
        <w:ind w:left="294"/>
      </w:pPr>
    </w:p>
    <w:p w14:paraId="702D9F91" w14:textId="77777777" w:rsidR="00A81B1D" w:rsidRDefault="00A81B1D" w:rsidP="004839FF">
      <w:pPr>
        <w:pStyle w:val="ListParagraph"/>
        <w:numPr>
          <w:ilvl w:val="0"/>
          <w:numId w:val="0"/>
        </w:numPr>
        <w:ind w:left="294"/>
      </w:pPr>
      <w:r>
        <w:t>2.</w:t>
      </w:r>
      <w:r>
        <w:tab/>
      </w:r>
      <w:r w:rsidRPr="004839FF">
        <w:rPr>
          <w:u w:val="single"/>
        </w:rPr>
        <w:t>C</w:t>
      </w:r>
      <w:r w:rsidR="007610A2" w:rsidRPr="004839FF">
        <w:rPr>
          <w:u w:val="single"/>
        </w:rPr>
        <w:t xml:space="preserve">ommunity of </w:t>
      </w:r>
      <w:r w:rsidRPr="004839FF">
        <w:rPr>
          <w:u w:val="single"/>
        </w:rPr>
        <w:t>P</w:t>
      </w:r>
      <w:r w:rsidR="007610A2" w:rsidRPr="004839FF">
        <w:rPr>
          <w:u w:val="single"/>
        </w:rPr>
        <w:t>ractice</w:t>
      </w:r>
      <w:r w:rsidRPr="004839FF">
        <w:rPr>
          <w:u w:val="single"/>
        </w:rPr>
        <w:t xml:space="preserve"> </w:t>
      </w:r>
      <w:r w:rsidR="007610A2" w:rsidRPr="004839FF">
        <w:rPr>
          <w:u w:val="single"/>
        </w:rPr>
        <w:t>p</w:t>
      </w:r>
      <w:r w:rsidRPr="004839FF">
        <w:rPr>
          <w:u w:val="single"/>
        </w:rPr>
        <w:t>lan and review of proposed plan to support Wave I communities</w:t>
      </w:r>
      <w:r>
        <w:tab/>
      </w:r>
      <w:r w:rsidR="007610A2">
        <w:t xml:space="preserve">- </w:t>
      </w:r>
    </w:p>
    <w:p w14:paraId="214F6108" w14:textId="77777777" w:rsidR="005D5A34" w:rsidRDefault="005D5A34" w:rsidP="004839FF">
      <w:pPr>
        <w:pStyle w:val="ListParagraph"/>
        <w:numPr>
          <w:ilvl w:val="0"/>
          <w:numId w:val="7"/>
        </w:numPr>
      </w:pPr>
      <w:r>
        <w:t xml:space="preserve">Andrew discussed the history around developing a CoP and integrating the Social Determinants of Health (SDH) in Primary Care Planning.  SDH have been identified as significant factors impacting health in all communities.  </w:t>
      </w:r>
      <w:r w:rsidR="004B7AB8">
        <w:t>M</w:t>
      </w:r>
      <w:r w:rsidR="00290314">
        <w:t>anag</w:t>
      </w:r>
      <w:r w:rsidR="004B7AB8">
        <w:t>ing</w:t>
      </w:r>
      <w:r w:rsidR="00290314">
        <w:t xml:space="preserve"> aspects of the SDH within a busy physician practice </w:t>
      </w:r>
      <w:r w:rsidR="004B7AB8">
        <w:t>can be challenging,</w:t>
      </w:r>
      <w:r w:rsidR="00290314">
        <w:t xml:space="preserve"> so resources were provided to hire a consultant (Diana) to build a website that could provide concrete assistance in addressing the SDH in practice.  </w:t>
      </w:r>
    </w:p>
    <w:p w14:paraId="7D4A4459" w14:textId="77777777" w:rsidR="00290314" w:rsidRDefault="00290314" w:rsidP="004839FF">
      <w:pPr>
        <w:pStyle w:val="ListParagraph"/>
        <w:numPr>
          <w:ilvl w:val="0"/>
          <w:numId w:val="0"/>
        </w:numPr>
        <w:ind w:left="1440"/>
      </w:pPr>
    </w:p>
    <w:p w14:paraId="252CFF5F" w14:textId="77777777" w:rsidR="00A81B1D" w:rsidRDefault="00A81B1D" w:rsidP="004839FF">
      <w:pPr>
        <w:pStyle w:val="ListParagraph"/>
        <w:numPr>
          <w:ilvl w:val="0"/>
          <w:numId w:val="0"/>
        </w:numPr>
        <w:ind w:left="294"/>
      </w:pPr>
      <w:r>
        <w:t>3.</w:t>
      </w:r>
      <w:r>
        <w:tab/>
      </w:r>
      <w:r w:rsidRPr="004839FF">
        <w:rPr>
          <w:u w:val="single"/>
        </w:rPr>
        <w:t xml:space="preserve">Current status and next </w:t>
      </w:r>
      <w:r w:rsidR="004839FF" w:rsidRPr="004839FF">
        <w:rPr>
          <w:u w:val="single"/>
        </w:rPr>
        <w:t xml:space="preserve">steps </w:t>
      </w:r>
      <w:r w:rsidR="004839FF">
        <w:rPr>
          <w:u w:val="single"/>
        </w:rPr>
        <w:t>-</w:t>
      </w:r>
      <w:r w:rsidR="00C7580B" w:rsidRPr="004839FF">
        <w:t xml:space="preserve"> </w:t>
      </w:r>
      <w:r w:rsidRPr="00C7580B">
        <w:tab/>
      </w:r>
    </w:p>
    <w:p w14:paraId="4A4DAEDC" w14:textId="77777777" w:rsidR="00711401" w:rsidRDefault="00A81B1D" w:rsidP="004839FF">
      <w:pPr>
        <w:pStyle w:val="ListParagraph"/>
        <w:numPr>
          <w:ilvl w:val="0"/>
          <w:numId w:val="7"/>
        </w:numPr>
      </w:pPr>
      <w:r>
        <w:t xml:space="preserve">Terry </w:t>
      </w:r>
      <w:r w:rsidR="005D5A34">
        <w:t xml:space="preserve">reviewed the service plans of all Wave 1 and 1b communities and </w:t>
      </w:r>
      <w:r w:rsidR="004B7AB8">
        <w:t>noted</w:t>
      </w:r>
      <w:r w:rsidR="00290314">
        <w:t xml:space="preserve"> very similar themes in all the proposals.  </w:t>
      </w:r>
      <w:r w:rsidR="00711401">
        <w:t xml:space="preserve">All were very thorough and addressed the SDH, often related to how these factors </w:t>
      </w:r>
      <w:r w:rsidR="004B7AB8">
        <w:t>a</w:t>
      </w:r>
      <w:r w:rsidR="00711401">
        <w:t xml:space="preserve">ffect attachment.  </w:t>
      </w:r>
      <w:r w:rsidR="00290314">
        <w:t>The common populations and themes identified were Aboriginal Health</w:t>
      </w:r>
      <w:r w:rsidR="00711401">
        <w:t xml:space="preserve">, moderate </w:t>
      </w:r>
      <w:r w:rsidR="004839FF">
        <w:t>to mild mental health services,</w:t>
      </w:r>
      <w:r w:rsidR="00711401">
        <w:t xml:space="preserve"> seniors and the frail, disease and complex care, maternity and youth supports.  </w:t>
      </w:r>
    </w:p>
    <w:p w14:paraId="213A157A" w14:textId="77777777" w:rsidR="00711401" w:rsidRDefault="00711401" w:rsidP="004839FF">
      <w:pPr>
        <w:pStyle w:val="ListParagraph"/>
        <w:numPr>
          <w:ilvl w:val="0"/>
          <w:numId w:val="7"/>
        </w:numPr>
      </w:pPr>
      <w:r>
        <w:t>To address these issues, several participants pointed to the inclusion of Allied Health staff to help address barriers to care for the above</w:t>
      </w:r>
      <w:r w:rsidR="00A11067">
        <w:t>-</w:t>
      </w:r>
      <w:r>
        <w:t xml:space="preserve">mentioned populations.  </w:t>
      </w:r>
    </w:p>
    <w:p w14:paraId="4C569DD8" w14:textId="77777777" w:rsidR="00711401" w:rsidRDefault="00711401" w:rsidP="004839FF">
      <w:pPr>
        <w:pStyle w:val="ListParagraph"/>
        <w:numPr>
          <w:ilvl w:val="0"/>
          <w:numId w:val="7"/>
        </w:numPr>
      </w:pPr>
      <w:r>
        <w:t xml:space="preserve">Some communities indicated that they might not have an attachment gap per se, but </w:t>
      </w:r>
      <w:r w:rsidRPr="004839FF">
        <w:rPr>
          <w:i/>
          <w:u w:val="single"/>
        </w:rPr>
        <w:t>access</w:t>
      </w:r>
      <w:r>
        <w:t xml:space="preserve"> to physicians and things that impede people to follow through were concerning.  Lack of effective transportation options</w:t>
      </w:r>
      <w:r w:rsidR="004B7AB8">
        <w:t xml:space="preserve"> and</w:t>
      </w:r>
      <w:r w:rsidR="00C61873">
        <w:t xml:space="preserve"> </w:t>
      </w:r>
      <w:r>
        <w:t xml:space="preserve">poverty were some highlighted common issues.  </w:t>
      </w:r>
    </w:p>
    <w:p w14:paraId="31F24DF9" w14:textId="77777777" w:rsidR="00711401" w:rsidRDefault="00711401" w:rsidP="004839FF">
      <w:pPr>
        <w:pStyle w:val="ListParagraph"/>
        <w:numPr>
          <w:ilvl w:val="0"/>
          <w:numId w:val="7"/>
        </w:numPr>
      </w:pPr>
      <w:r>
        <w:t>Partnerships with FNHA and First Nations Bands were vi</w:t>
      </w:r>
      <w:r w:rsidR="00C7580B">
        <w:t xml:space="preserve">ewed as critical in this </w:t>
      </w:r>
      <w:proofErr w:type="gramStart"/>
      <w:r w:rsidR="00C7580B">
        <w:t>work</w:t>
      </w:r>
      <w:proofErr w:type="gramEnd"/>
      <w:r w:rsidR="00C7580B">
        <w:t xml:space="preserve"> but we want to be judicious on the demands we ask of the Aboriginal communities given the strains on their resources.  </w:t>
      </w:r>
    </w:p>
    <w:p w14:paraId="37A60F84" w14:textId="77777777" w:rsidR="00A81B1D" w:rsidRDefault="00A81B1D" w:rsidP="004839FF">
      <w:pPr>
        <w:pStyle w:val="ListParagraph"/>
        <w:numPr>
          <w:ilvl w:val="0"/>
          <w:numId w:val="0"/>
        </w:numPr>
        <w:ind w:left="294" w:firstLine="426"/>
      </w:pPr>
    </w:p>
    <w:p w14:paraId="78AE0E6C" w14:textId="77777777" w:rsidR="00A81B1D" w:rsidRPr="004839FF" w:rsidRDefault="00A81B1D" w:rsidP="004839FF">
      <w:pPr>
        <w:pStyle w:val="ListParagraph"/>
        <w:numPr>
          <w:ilvl w:val="0"/>
          <w:numId w:val="0"/>
        </w:numPr>
        <w:ind w:left="714" w:hanging="420"/>
        <w:rPr>
          <w:u w:val="single"/>
        </w:rPr>
      </w:pPr>
      <w:r>
        <w:t>4.</w:t>
      </w:r>
      <w:r>
        <w:tab/>
      </w:r>
      <w:r w:rsidR="005D5A34">
        <w:t>W</w:t>
      </w:r>
      <w:r w:rsidRPr="004839FF">
        <w:rPr>
          <w:u w:val="single"/>
        </w:rPr>
        <w:t xml:space="preserve">hat participants want out of the Community of </w:t>
      </w:r>
      <w:r w:rsidR="00711401" w:rsidRPr="005D5A34">
        <w:rPr>
          <w:u w:val="single"/>
        </w:rPr>
        <w:t>Practice</w:t>
      </w:r>
      <w:r w:rsidR="00597B4E">
        <w:rPr>
          <w:u w:val="single"/>
        </w:rPr>
        <w:t xml:space="preserve"> (CoP)</w:t>
      </w:r>
      <w:r w:rsidR="00711401" w:rsidRPr="005D5A34">
        <w:rPr>
          <w:u w:val="single"/>
        </w:rPr>
        <w:t>?</w:t>
      </w:r>
      <w:r w:rsidRPr="004839FF">
        <w:rPr>
          <w:u w:val="single"/>
        </w:rPr>
        <w:t xml:space="preserve"> “What does success look like for you?” </w:t>
      </w:r>
      <w:r w:rsidR="00C7580B">
        <w:rPr>
          <w:u w:val="single"/>
        </w:rPr>
        <w:t xml:space="preserve"> </w:t>
      </w:r>
    </w:p>
    <w:p w14:paraId="486C2C69" w14:textId="77777777" w:rsidR="00271D8C" w:rsidRDefault="00711401" w:rsidP="004839FF">
      <w:pPr>
        <w:pStyle w:val="ListParagraph"/>
        <w:numPr>
          <w:ilvl w:val="0"/>
          <w:numId w:val="0"/>
        </w:numPr>
        <w:ind w:left="1434"/>
      </w:pPr>
      <w:r>
        <w:t xml:space="preserve">Diana reviewed her work </w:t>
      </w:r>
      <w:r w:rsidR="00C7580B">
        <w:t xml:space="preserve">creating </w:t>
      </w:r>
      <w:r>
        <w:t xml:space="preserve">Embedsdh.ca </w:t>
      </w:r>
      <w:r w:rsidR="00C7580B">
        <w:t>website</w:t>
      </w:r>
      <w:r w:rsidR="00271D8C">
        <w:t xml:space="preserve"> and the benefits of a </w:t>
      </w:r>
      <w:proofErr w:type="spellStart"/>
      <w:r w:rsidR="00271D8C">
        <w:t>CoP.</w:t>
      </w:r>
      <w:proofErr w:type="spellEnd"/>
      <w:r w:rsidR="00271D8C">
        <w:t xml:space="preserve">  </w:t>
      </w:r>
      <w:r w:rsidR="00B0122C">
        <w:t xml:space="preserve">The website is close to completion. </w:t>
      </w:r>
    </w:p>
    <w:p w14:paraId="78F096A0" w14:textId="77777777" w:rsidR="00B0122C" w:rsidRDefault="00B0122C" w:rsidP="004839FF">
      <w:pPr>
        <w:pStyle w:val="ListParagraph"/>
        <w:numPr>
          <w:ilvl w:val="0"/>
          <w:numId w:val="0"/>
        </w:numPr>
        <w:ind w:left="1434"/>
        <w:rPr>
          <w:i/>
        </w:rPr>
      </w:pPr>
      <w:r w:rsidRPr="004839FF">
        <w:t>The following questions were asked of the group</w:t>
      </w:r>
      <w:r>
        <w:rPr>
          <w:i/>
        </w:rPr>
        <w:t>:</w:t>
      </w:r>
    </w:p>
    <w:p w14:paraId="40CF7A33" w14:textId="77777777" w:rsidR="00A81B1D" w:rsidRPr="004839FF" w:rsidRDefault="00B0122C" w:rsidP="004839FF">
      <w:pPr>
        <w:pStyle w:val="ListParagraph"/>
        <w:numPr>
          <w:ilvl w:val="0"/>
          <w:numId w:val="0"/>
        </w:numPr>
        <w:ind w:left="1434"/>
        <w:rPr>
          <w:i/>
        </w:rPr>
      </w:pPr>
      <w:r>
        <w:rPr>
          <w:i/>
        </w:rPr>
        <w:t xml:space="preserve"> </w:t>
      </w:r>
      <w:r w:rsidR="00A81B1D" w:rsidRPr="004839FF">
        <w:rPr>
          <w:i/>
        </w:rPr>
        <w:t>What format works best for everyone</w:t>
      </w:r>
      <w:r w:rsidR="00271D8C" w:rsidRPr="004839FF">
        <w:rPr>
          <w:i/>
        </w:rPr>
        <w:t xml:space="preserve"> and what is needed to make this CoP successful? </w:t>
      </w:r>
    </w:p>
    <w:p w14:paraId="728FDCF4" w14:textId="77777777" w:rsidR="00271D8C" w:rsidRDefault="00A81B1D">
      <w:pPr>
        <w:pStyle w:val="ListParagraph"/>
        <w:numPr>
          <w:ilvl w:val="0"/>
          <w:numId w:val="9"/>
        </w:numPr>
      </w:pPr>
      <w:r>
        <w:tab/>
      </w:r>
      <w:r w:rsidR="00271D8C">
        <w:t>The group discussed having another platform for the meetings</w:t>
      </w:r>
      <w:r w:rsidR="00E93FA8">
        <w:t xml:space="preserve"> </w:t>
      </w:r>
      <w:r w:rsidR="00271D8C">
        <w:t>(</w:t>
      </w:r>
      <w:proofErr w:type="spellStart"/>
      <w:r w:rsidR="00271D8C">
        <w:t>GoTo</w:t>
      </w:r>
      <w:proofErr w:type="spellEnd"/>
      <w:r w:rsidR="00271D8C">
        <w:t xml:space="preserve"> Meeting as opposed to </w:t>
      </w:r>
      <w:proofErr w:type="spellStart"/>
      <w:r w:rsidR="00271D8C">
        <w:t>GoTo</w:t>
      </w:r>
      <w:proofErr w:type="spellEnd"/>
      <w:r w:rsidR="00271D8C">
        <w:t xml:space="preserve"> Webinar) for future meetings. </w:t>
      </w:r>
    </w:p>
    <w:p w14:paraId="141C6219" w14:textId="77777777" w:rsidR="00271D8C" w:rsidRDefault="00271D8C" w:rsidP="00271D8C">
      <w:pPr>
        <w:pStyle w:val="ListParagraph"/>
        <w:numPr>
          <w:ilvl w:val="0"/>
          <w:numId w:val="9"/>
        </w:numPr>
      </w:pPr>
      <w:r>
        <w:t>One</w:t>
      </w:r>
      <w:r w:rsidR="00C61873">
        <w:t>-</w:t>
      </w:r>
      <w:r>
        <w:t>t</w:t>
      </w:r>
      <w:r w:rsidR="00597B4E">
        <w:t>o</w:t>
      </w:r>
      <w:r w:rsidR="00C61873">
        <w:t>-</w:t>
      </w:r>
      <w:r>
        <w:t xml:space="preserve">one meetings/calls to divisions </w:t>
      </w:r>
      <w:r w:rsidR="00C61873">
        <w:t xml:space="preserve">unable to attend the call </w:t>
      </w:r>
      <w:r>
        <w:t xml:space="preserve">were recommended to gather information on what they feel is needed.  </w:t>
      </w:r>
    </w:p>
    <w:p w14:paraId="1FEC0A76" w14:textId="77777777" w:rsidR="00271D8C" w:rsidRDefault="00271D8C" w:rsidP="00271D8C">
      <w:pPr>
        <w:pStyle w:val="ListParagraph"/>
        <w:numPr>
          <w:ilvl w:val="0"/>
          <w:numId w:val="9"/>
        </w:numPr>
      </w:pPr>
      <w:r>
        <w:t xml:space="preserve">There was unanimous agreement that </w:t>
      </w:r>
      <w:r w:rsidR="00E93FA8">
        <w:t>success would be achieved</w:t>
      </w:r>
      <w:r w:rsidR="004839FF">
        <w:t xml:space="preserve"> when</w:t>
      </w:r>
      <w:r w:rsidR="00E93FA8">
        <w:t xml:space="preserve"> </w:t>
      </w:r>
      <w:r w:rsidR="004839FF">
        <w:t>physicians are</w:t>
      </w:r>
      <w:r>
        <w:t xml:space="preserve"> supported in addressing the SDH in their practice</w:t>
      </w:r>
      <w:r w:rsidR="00C61873">
        <w:t>s</w:t>
      </w:r>
      <w:r>
        <w:t xml:space="preserve">.  </w:t>
      </w:r>
    </w:p>
    <w:p w14:paraId="3D5A1F3E" w14:textId="77777777" w:rsidR="00A81B1D" w:rsidRDefault="00A81B1D" w:rsidP="004839FF">
      <w:pPr>
        <w:pStyle w:val="ListParagraph"/>
        <w:numPr>
          <w:ilvl w:val="0"/>
          <w:numId w:val="0"/>
        </w:numPr>
        <w:ind w:left="294"/>
      </w:pPr>
    </w:p>
    <w:p w14:paraId="456D6736" w14:textId="77777777" w:rsidR="007610A2" w:rsidRDefault="007610A2" w:rsidP="004839FF">
      <w:pPr>
        <w:pStyle w:val="ListParagraph"/>
        <w:numPr>
          <w:ilvl w:val="0"/>
          <w:numId w:val="0"/>
        </w:numPr>
        <w:ind w:left="294"/>
      </w:pPr>
    </w:p>
    <w:p w14:paraId="111D6CB8" w14:textId="77777777" w:rsidR="00290314" w:rsidRDefault="00A81B1D" w:rsidP="004839FF">
      <w:pPr>
        <w:pStyle w:val="ListParagraph"/>
        <w:numPr>
          <w:ilvl w:val="0"/>
          <w:numId w:val="0"/>
        </w:numPr>
        <w:ind w:left="294"/>
      </w:pPr>
      <w:r>
        <w:lastRenderedPageBreak/>
        <w:t>5.</w:t>
      </w:r>
      <w:r>
        <w:tab/>
      </w:r>
      <w:r w:rsidRPr="004839FF">
        <w:rPr>
          <w:u w:val="single"/>
        </w:rPr>
        <w:t>Divisions Dialogue</w:t>
      </w:r>
      <w:r>
        <w:t xml:space="preserve"> </w:t>
      </w:r>
      <w:r>
        <w:tab/>
      </w:r>
    </w:p>
    <w:p w14:paraId="30E08A1D" w14:textId="77777777" w:rsidR="00A81B1D" w:rsidRDefault="00A81B1D" w:rsidP="004839FF">
      <w:pPr>
        <w:pStyle w:val="ListParagraph"/>
        <w:numPr>
          <w:ilvl w:val="0"/>
          <w:numId w:val="0"/>
        </w:numPr>
        <w:ind w:left="294" w:firstLine="426"/>
      </w:pPr>
      <w:r>
        <w:t xml:space="preserve">Where are you in the process? </w:t>
      </w:r>
      <w:r w:rsidR="00C61873">
        <w:t>Action:</w:t>
      </w:r>
    </w:p>
    <w:p w14:paraId="311F4803" w14:textId="77777777" w:rsidR="006F0D0E" w:rsidRDefault="00271D8C" w:rsidP="004839FF">
      <w:pPr>
        <w:pStyle w:val="ListParagraph"/>
        <w:numPr>
          <w:ilvl w:val="0"/>
          <w:numId w:val="10"/>
        </w:numPr>
      </w:pPr>
      <w:r>
        <w:t xml:space="preserve">Using tools to assist in highlighting SDH (poverty screening and Adverse Childhood Experiences </w:t>
      </w:r>
      <w:r w:rsidR="00C61873">
        <w:t>[</w:t>
      </w:r>
      <w:r>
        <w:t>ACEs</w:t>
      </w:r>
      <w:r w:rsidR="00C61873">
        <w:t>]</w:t>
      </w:r>
      <w:r>
        <w:t xml:space="preserve">).  </w:t>
      </w:r>
      <w:r w:rsidR="00E93FA8">
        <w:t xml:space="preserve">Specifically, Lee referred to the Shared Care Project where educational rounds were </w:t>
      </w:r>
      <w:r w:rsidR="00C61873">
        <w:t xml:space="preserve">carried out </w:t>
      </w:r>
      <w:r w:rsidR="00E93FA8">
        <w:t>with a psychiatrist on how to implement universal ACEs screening</w:t>
      </w:r>
    </w:p>
    <w:p w14:paraId="181A6DE3" w14:textId="77777777" w:rsidR="006F0D0E" w:rsidRDefault="006F0D0E" w:rsidP="004839FF">
      <w:pPr>
        <w:pStyle w:val="ListParagraph"/>
        <w:numPr>
          <w:ilvl w:val="0"/>
          <w:numId w:val="10"/>
        </w:numPr>
      </w:pPr>
      <w:r>
        <w:t>Engaging physicians and helping them thin</w:t>
      </w:r>
      <w:r w:rsidR="00271D8C">
        <w:t xml:space="preserve">k </w:t>
      </w:r>
      <w:r>
        <w:t xml:space="preserve">differently about SDH.  </w:t>
      </w:r>
    </w:p>
    <w:p w14:paraId="48F66C4A" w14:textId="77777777" w:rsidR="00290314" w:rsidRDefault="006F0D0E" w:rsidP="004839FF">
      <w:pPr>
        <w:pStyle w:val="ListParagraph"/>
        <w:numPr>
          <w:ilvl w:val="0"/>
          <w:numId w:val="10"/>
        </w:numPr>
      </w:pPr>
      <w:r>
        <w:t xml:space="preserve">Support in integrating Allied Health into this work.  </w:t>
      </w:r>
    </w:p>
    <w:p w14:paraId="30A53005" w14:textId="77777777" w:rsidR="00E93FA8" w:rsidRDefault="00E93FA8" w:rsidP="004839FF">
      <w:pPr>
        <w:pStyle w:val="ListParagraph"/>
        <w:numPr>
          <w:ilvl w:val="0"/>
          <w:numId w:val="0"/>
        </w:numPr>
        <w:ind w:left="294" w:firstLine="426"/>
      </w:pPr>
    </w:p>
    <w:p w14:paraId="4C300130" w14:textId="77777777" w:rsidR="00A81B1D" w:rsidRDefault="00A81B1D" w:rsidP="004839FF">
      <w:pPr>
        <w:pStyle w:val="ListParagraph"/>
        <w:numPr>
          <w:ilvl w:val="0"/>
          <w:numId w:val="0"/>
        </w:numPr>
        <w:ind w:left="294" w:firstLine="426"/>
      </w:pPr>
      <w:r>
        <w:t>What are your next steps in pursuing health equity?</w:t>
      </w:r>
    </w:p>
    <w:p w14:paraId="68AA7251" w14:textId="77777777" w:rsidR="00290314" w:rsidRDefault="00E93FA8" w:rsidP="004839FF">
      <w:pPr>
        <w:pStyle w:val="ListParagraph"/>
        <w:numPr>
          <w:ilvl w:val="0"/>
          <w:numId w:val="13"/>
        </w:numPr>
      </w:pPr>
      <w:r>
        <w:t xml:space="preserve">Megan indicated that a big part of their PCN work focuses on provider renewal and resilience and patient centred care.  </w:t>
      </w:r>
    </w:p>
    <w:p w14:paraId="6DF06C22" w14:textId="77777777" w:rsidR="00E93FA8" w:rsidRDefault="00E93FA8" w:rsidP="004839FF">
      <w:pPr>
        <w:pStyle w:val="ListParagraph"/>
        <w:numPr>
          <w:ilvl w:val="0"/>
          <w:numId w:val="0"/>
        </w:numPr>
        <w:ind w:left="720"/>
      </w:pPr>
    </w:p>
    <w:p w14:paraId="3B7144F8" w14:textId="77777777" w:rsidR="00E93FA8" w:rsidRDefault="00A81B1D" w:rsidP="004839FF">
      <w:pPr>
        <w:pStyle w:val="ListParagraph"/>
        <w:numPr>
          <w:ilvl w:val="0"/>
          <w:numId w:val="0"/>
        </w:numPr>
        <w:ind w:left="720"/>
      </w:pPr>
      <w:r>
        <w:t xml:space="preserve">Has your relationship with HA changed your planning regarding SDOH and what are the opportunities </w:t>
      </w:r>
      <w:r w:rsidR="00E93FA8">
        <w:t xml:space="preserve">for progress?  </w:t>
      </w:r>
    </w:p>
    <w:p w14:paraId="036FB83D" w14:textId="77777777" w:rsidR="00B0122C" w:rsidRDefault="00B0122C" w:rsidP="004839FF">
      <w:pPr>
        <w:pStyle w:val="ListParagraph"/>
        <w:numPr>
          <w:ilvl w:val="0"/>
          <w:numId w:val="12"/>
        </w:numPr>
        <w:ind w:firstLine="360"/>
      </w:pPr>
      <w:r>
        <w:t xml:space="preserve">Engaging Allied Health in this work has been an important issue for some divisions. </w:t>
      </w:r>
    </w:p>
    <w:p w14:paraId="6FFB9CFA" w14:textId="77777777" w:rsidR="00B0122C" w:rsidRDefault="00B0122C" w:rsidP="004839FF">
      <w:pPr>
        <w:pStyle w:val="ListParagraph"/>
        <w:numPr>
          <w:ilvl w:val="0"/>
          <w:numId w:val="12"/>
        </w:numPr>
        <w:ind w:firstLine="360"/>
      </w:pPr>
      <w:r>
        <w:t xml:space="preserve">Recruitment and retention of AH professionals is problematic, especially in remote areas. </w:t>
      </w:r>
    </w:p>
    <w:p w14:paraId="22C21217" w14:textId="77777777" w:rsidR="00E93FA8" w:rsidRDefault="00E93FA8" w:rsidP="004839FF">
      <w:pPr>
        <w:pStyle w:val="ListParagraph"/>
        <w:numPr>
          <w:ilvl w:val="0"/>
          <w:numId w:val="12"/>
        </w:numPr>
        <w:ind w:firstLine="360"/>
      </w:pPr>
      <w:r>
        <w:t xml:space="preserve">The FTE allocation for </w:t>
      </w:r>
      <w:r w:rsidR="00B0122C">
        <w:t xml:space="preserve">AH </w:t>
      </w:r>
      <w:r>
        <w:t>was considered inade</w:t>
      </w:r>
      <w:r w:rsidR="00B0122C">
        <w:t xml:space="preserve">quate for some, but </w:t>
      </w:r>
      <w:r w:rsidR="00A11067">
        <w:t xml:space="preserve">fine for </w:t>
      </w:r>
      <w:r w:rsidR="00597B4E">
        <w:t>others</w:t>
      </w:r>
      <w:r w:rsidR="00A11067">
        <w:t>.</w:t>
      </w:r>
    </w:p>
    <w:p w14:paraId="0A3CCC28" w14:textId="77777777" w:rsidR="00B0122C" w:rsidRDefault="00B0122C" w:rsidP="004839FF">
      <w:pPr>
        <w:pStyle w:val="ListParagraph"/>
        <w:numPr>
          <w:ilvl w:val="0"/>
          <w:numId w:val="0"/>
        </w:numPr>
        <w:ind w:left="1080"/>
      </w:pPr>
    </w:p>
    <w:p w14:paraId="5970DF2A" w14:textId="77777777" w:rsidR="00A11067" w:rsidRPr="00A11067" w:rsidRDefault="0045466D" w:rsidP="00A11067">
      <w:pPr>
        <w:pStyle w:val="ListParagraph"/>
        <w:numPr>
          <w:ilvl w:val="0"/>
          <w:numId w:val="12"/>
        </w:numPr>
      </w:pPr>
      <w:r>
        <w:t>Themes to discuss in subsequent meetings:</w:t>
      </w:r>
      <w:r w:rsidR="00A11067">
        <w:t xml:space="preserve"> </w:t>
      </w:r>
      <w:r w:rsidR="00A11067" w:rsidRPr="00A11067">
        <w:t>(with additional guests, as appropriate)</w:t>
      </w:r>
    </w:p>
    <w:p w14:paraId="5A2E36C8" w14:textId="1119DB92" w:rsidR="007610A2" w:rsidRPr="007233F7" w:rsidRDefault="0045466D" w:rsidP="0045466D">
      <w:pPr>
        <w:pStyle w:val="ListParagraph"/>
        <w:numPr>
          <w:ilvl w:val="0"/>
          <w:numId w:val="14"/>
        </w:numPr>
      </w:pPr>
      <w:r w:rsidRPr="007233F7">
        <w:rPr>
          <w:b/>
        </w:rPr>
        <w:t>Relationship with HA</w:t>
      </w:r>
      <w:r w:rsidRPr="00A11067">
        <w:t xml:space="preserve"> </w:t>
      </w:r>
      <w:r w:rsidR="00A11067" w:rsidRPr="00A11067">
        <w:t xml:space="preserve">(including their involvement in PMH Committees) </w:t>
      </w:r>
      <w:r w:rsidRPr="00A11067">
        <w:t>and partners around embedding SDH (</w:t>
      </w:r>
      <w:r w:rsidR="00B0122C" w:rsidRPr="00A11067">
        <w:t>This</w:t>
      </w:r>
      <w:r w:rsidR="00B0122C" w:rsidRPr="007233F7">
        <w:t xml:space="preserve"> topic could be a s</w:t>
      </w:r>
      <w:r w:rsidRPr="007233F7">
        <w:t>tanding item on the agenda)</w:t>
      </w:r>
      <w:r w:rsidR="00A11067">
        <w:t xml:space="preserve">. </w:t>
      </w:r>
      <w:r w:rsidR="00A11067" w:rsidRPr="007233F7">
        <w:rPr>
          <w:i/>
        </w:rPr>
        <w:t>See attached table</w:t>
      </w:r>
      <w:r w:rsidR="00A11067">
        <w:t xml:space="preserve">: </w:t>
      </w:r>
      <w:proofErr w:type="spellStart"/>
      <w:r w:rsidR="00A11067">
        <w:t>EmbedS</w:t>
      </w:r>
      <w:r w:rsidR="005A1A0D">
        <w:t>D</w:t>
      </w:r>
      <w:r w:rsidR="00A11067">
        <w:t>H</w:t>
      </w:r>
      <w:proofErr w:type="spellEnd"/>
      <w:r w:rsidR="00A11067">
        <w:t xml:space="preserve"> Resources to Support Planning Guide.</w:t>
      </w:r>
    </w:p>
    <w:p w14:paraId="39F87F68" w14:textId="77777777" w:rsidR="0045466D" w:rsidRPr="007233F7" w:rsidRDefault="0045466D" w:rsidP="0045466D">
      <w:pPr>
        <w:pStyle w:val="ListParagraph"/>
        <w:numPr>
          <w:ilvl w:val="0"/>
          <w:numId w:val="14"/>
        </w:numPr>
        <w:rPr>
          <w:b/>
        </w:rPr>
      </w:pPr>
      <w:r w:rsidRPr="007233F7">
        <w:rPr>
          <w:b/>
        </w:rPr>
        <w:t>First Nations and indigenous provider engagement</w:t>
      </w:r>
    </w:p>
    <w:p w14:paraId="0D3C9013" w14:textId="424DD4D5" w:rsidR="00125991" w:rsidRPr="007233F7" w:rsidRDefault="00E96B34" w:rsidP="0045466D">
      <w:pPr>
        <w:pStyle w:val="ListParagraph"/>
        <w:numPr>
          <w:ilvl w:val="0"/>
          <w:numId w:val="14"/>
        </w:numPr>
      </w:pPr>
      <w:r w:rsidRPr="00063484">
        <w:rPr>
          <w:b/>
        </w:rPr>
        <w:t>Patient a</w:t>
      </w:r>
      <w:r w:rsidR="00125991" w:rsidRPr="00063484">
        <w:rPr>
          <w:b/>
        </w:rPr>
        <w:t>ttachment</w:t>
      </w:r>
      <w:r w:rsidR="00125991" w:rsidRPr="007233F7">
        <w:t xml:space="preserve"> and longitudinal relationships</w:t>
      </w:r>
      <w:r>
        <w:t xml:space="preserve"> - H</w:t>
      </w:r>
      <w:r w:rsidR="005A1A0D">
        <w:t xml:space="preserve">ow do the </w:t>
      </w:r>
      <w:r w:rsidR="00125991" w:rsidRPr="007233F7">
        <w:t>SDH</w:t>
      </w:r>
      <w:r w:rsidR="005A1A0D">
        <w:t xml:space="preserve"> impact these? </w:t>
      </w:r>
    </w:p>
    <w:p w14:paraId="676FF3D4" w14:textId="77777777" w:rsidR="0045466D" w:rsidRPr="007233F7" w:rsidRDefault="00125991" w:rsidP="0045466D">
      <w:pPr>
        <w:pStyle w:val="ListParagraph"/>
        <w:numPr>
          <w:ilvl w:val="0"/>
          <w:numId w:val="14"/>
        </w:numPr>
      </w:pPr>
      <w:r w:rsidRPr="007233F7">
        <w:rPr>
          <w:b/>
        </w:rPr>
        <w:t>Transportation</w:t>
      </w:r>
      <w:r w:rsidRPr="007233F7">
        <w:t xml:space="preserve"> (particularly rural areas)  </w:t>
      </w:r>
      <w:r w:rsidR="0045466D" w:rsidRPr="007233F7">
        <w:t xml:space="preserve">  </w:t>
      </w:r>
    </w:p>
    <w:p w14:paraId="4CE9FE6E" w14:textId="77777777" w:rsidR="00125991" w:rsidRPr="007233F7" w:rsidRDefault="00183232" w:rsidP="0045466D">
      <w:pPr>
        <w:pStyle w:val="ListParagraph"/>
        <w:numPr>
          <w:ilvl w:val="0"/>
          <w:numId w:val="14"/>
        </w:numPr>
        <w:rPr>
          <w:b/>
        </w:rPr>
      </w:pPr>
      <w:r w:rsidRPr="007233F7">
        <w:rPr>
          <w:b/>
        </w:rPr>
        <w:t xml:space="preserve">Physician engagement and support </w:t>
      </w:r>
    </w:p>
    <w:p w14:paraId="47D2A9D0" w14:textId="77777777" w:rsidR="00597B4E" w:rsidRDefault="00183232" w:rsidP="00A11067">
      <w:pPr>
        <w:pStyle w:val="ListParagraph"/>
        <w:numPr>
          <w:ilvl w:val="0"/>
          <w:numId w:val="14"/>
        </w:numPr>
      </w:pPr>
      <w:r w:rsidRPr="007233F7">
        <w:rPr>
          <w:b/>
        </w:rPr>
        <w:t>Allied health professionals:</w:t>
      </w:r>
      <w:r w:rsidRPr="007233F7">
        <w:t xml:space="preserve"> Building capacity (recruitment, retention).  </w:t>
      </w:r>
    </w:p>
    <w:p w14:paraId="77C960F5" w14:textId="77777777" w:rsidR="00A11067" w:rsidRDefault="00A11067" w:rsidP="007233F7">
      <w:pPr>
        <w:pStyle w:val="ListParagraph"/>
        <w:numPr>
          <w:ilvl w:val="0"/>
          <w:numId w:val="0"/>
        </w:numPr>
        <w:ind w:left="1440"/>
      </w:pPr>
    </w:p>
    <w:p w14:paraId="03999364" w14:textId="77777777" w:rsidR="007610A2" w:rsidRDefault="00A81B1D" w:rsidP="00A81B1D">
      <w:pPr>
        <w:pStyle w:val="ListParagraph"/>
        <w:numPr>
          <w:ilvl w:val="0"/>
          <w:numId w:val="0"/>
        </w:numPr>
        <w:ind w:left="294"/>
      </w:pPr>
      <w:r>
        <w:t>6.</w:t>
      </w:r>
      <w:r>
        <w:tab/>
      </w:r>
      <w:r w:rsidRPr="004839FF">
        <w:rPr>
          <w:u w:val="single"/>
        </w:rPr>
        <w:t>Wrap-up/next steps</w:t>
      </w:r>
      <w:r>
        <w:t xml:space="preserve"> </w:t>
      </w:r>
      <w:r>
        <w:tab/>
      </w:r>
    </w:p>
    <w:p w14:paraId="130FF734" w14:textId="77777777" w:rsidR="00022DE8" w:rsidRDefault="00022DE8" w:rsidP="00022DE8">
      <w:pPr>
        <w:pStyle w:val="ListParagraph"/>
        <w:numPr>
          <w:ilvl w:val="0"/>
          <w:numId w:val="7"/>
        </w:numPr>
      </w:pPr>
      <w:r>
        <w:t xml:space="preserve">Minutes and a recording of the webinar will be shared with the Wave 1 and 1b communities.  (Terry and Jennifer). </w:t>
      </w:r>
      <w:r w:rsidRPr="007233F7">
        <w:rPr>
          <w:i/>
        </w:rPr>
        <w:t>Note:</w:t>
      </w:r>
      <w:r>
        <w:t xml:space="preserve"> Equiphealthcare.ca materials are linked to point 8 in the attached table. </w:t>
      </w:r>
    </w:p>
    <w:p w14:paraId="7B7346CE" w14:textId="5D7F15D7" w:rsidR="00826724" w:rsidRDefault="00063484" w:rsidP="004839FF">
      <w:pPr>
        <w:pStyle w:val="ListParagraph"/>
        <w:numPr>
          <w:ilvl w:val="0"/>
          <w:numId w:val="7"/>
        </w:numPr>
      </w:pPr>
      <w:r>
        <w:t>Andrew</w:t>
      </w:r>
      <w:r w:rsidR="00290314">
        <w:t xml:space="preserve"> to reach out to Divisions who did not attend to inform them of the group</w:t>
      </w:r>
      <w:r w:rsidR="0045466D">
        <w:t xml:space="preserve"> </w:t>
      </w:r>
      <w:r w:rsidR="00125991">
        <w:t>and</w:t>
      </w:r>
      <w:r w:rsidR="00290314">
        <w:t xml:space="preserve"> invite them into future planning</w:t>
      </w:r>
      <w:r w:rsidR="00183232">
        <w:t>.</w:t>
      </w:r>
    </w:p>
    <w:p w14:paraId="03A42C3A" w14:textId="6751573E" w:rsidR="00290314" w:rsidRDefault="00826724" w:rsidP="004839FF">
      <w:pPr>
        <w:pStyle w:val="ListParagraph"/>
        <w:numPr>
          <w:ilvl w:val="0"/>
          <w:numId w:val="7"/>
        </w:numPr>
      </w:pPr>
      <w:r>
        <w:t xml:space="preserve">Terry and Diana to draft Terms of Reference for the CoP, for members to </w:t>
      </w:r>
      <w:r w:rsidR="00541CBA">
        <w:t>critique.</w:t>
      </w:r>
    </w:p>
    <w:p w14:paraId="045AFE70" w14:textId="77777777" w:rsidR="00C7580B" w:rsidRDefault="00CB4BB2" w:rsidP="004839FF">
      <w:pPr>
        <w:pStyle w:val="ListParagraph"/>
        <w:numPr>
          <w:ilvl w:val="0"/>
          <w:numId w:val="7"/>
        </w:numPr>
      </w:pPr>
      <w:r>
        <w:t>Andrew to complete a 1</w:t>
      </w:r>
      <w:r w:rsidR="007233F7">
        <w:t>-</w:t>
      </w:r>
      <w:r>
        <w:t xml:space="preserve">page communication on how to incorporate </w:t>
      </w:r>
      <w:r w:rsidR="00183232">
        <w:t>SDH</w:t>
      </w:r>
      <w:r>
        <w:t xml:space="preserve"> into Wave 2 </w:t>
      </w:r>
      <w:r w:rsidR="00183232">
        <w:t xml:space="preserve">service </w:t>
      </w:r>
      <w:r>
        <w:t xml:space="preserve">planning.  </w:t>
      </w:r>
    </w:p>
    <w:p w14:paraId="42596BBF" w14:textId="3BB38895" w:rsidR="00022DE8" w:rsidRDefault="00541CBA" w:rsidP="00022DE8">
      <w:pPr>
        <w:pStyle w:val="ListParagraph"/>
        <w:numPr>
          <w:ilvl w:val="0"/>
          <w:numId w:val="7"/>
        </w:numPr>
      </w:pPr>
      <w:r>
        <w:t>Meeting f</w:t>
      </w:r>
      <w:r w:rsidR="00022DE8">
        <w:t xml:space="preserve">ormat: To improve access and navigation, GoToMeeting will be used for the next meeting. </w:t>
      </w:r>
    </w:p>
    <w:p w14:paraId="7B874EA2" w14:textId="77777777" w:rsidR="00022DE8" w:rsidRDefault="00022DE8" w:rsidP="00022DE8">
      <w:pPr>
        <w:pStyle w:val="ListParagraph"/>
        <w:numPr>
          <w:ilvl w:val="0"/>
          <w:numId w:val="0"/>
        </w:numPr>
        <w:ind w:left="1440"/>
      </w:pPr>
      <w:r>
        <w:t>(Terry and Jennifer)</w:t>
      </w:r>
    </w:p>
    <w:p w14:paraId="14B1994F" w14:textId="77777777" w:rsidR="00063484" w:rsidRDefault="00022DE8" w:rsidP="00022DE8">
      <w:pPr>
        <w:pStyle w:val="ListParagraph"/>
        <w:numPr>
          <w:ilvl w:val="0"/>
          <w:numId w:val="7"/>
        </w:numPr>
      </w:pPr>
      <w:r>
        <w:t xml:space="preserve">Meetings will run monthly for 6 months, then evaluate whether to continue and at which frequency. </w:t>
      </w:r>
    </w:p>
    <w:p w14:paraId="4C14137F" w14:textId="77777777" w:rsidR="00063484" w:rsidRDefault="00063484" w:rsidP="00063484">
      <w:pPr>
        <w:pStyle w:val="ListParagraph"/>
        <w:numPr>
          <w:ilvl w:val="0"/>
          <w:numId w:val="0"/>
        </w:numPr>
        <w:ind w:left="1440"/>
      </w:pPr>
    </w:p>
    <w:p w14:paraId="10E08B4D" w14:textId="3EDA8F64" w:rsidR="00022DE8" w:rsidRPr="00063484" w:rsidRDefault="00063484" w:rsidP="00063484">
      <w:pPr>
        <w:pStyle w:val="ListParagraph"/>
        <w:numPr>
          <w:ilvl w:val="0"/>
          <w:numId w:val="0"/>
        </w:numPr>
        <w:ind w:left="1440"/>
        <w:rPr>
          <w:b/>
          <w:sz w:val="26"/>
          <w:szCs w:val="26"/>
        </w:rPr>
      </w:pPr>
      <w:r w:rsidRPr="00063484">
        <w:rPr>
          <w:b/>
          <w:sz w:val="26"/>
          <w:szCs w:val="26"/>
        </w:rPr>
        <w:t>The n</w:t>
      </w:r>
      <w:r w:rsidR="00022DE8" w:rsidRPr="00063484">
        <w:rPr>
          <w:b/>
          <w:sz w:val="26"/>
          <w:szCs w:val="26"/>
        </w:rPr>
        <w:t xml:space="preserve">ext meeting </w:t>
      </w:r>
      <w:r w:rsidRPr="00063484">
        <w:rPr>
          <w:b/>
          <w:sz w:val="26"/>
          <w:szCs w:val="26"/>
        </w:rPr>
        <w:t>will take place on Thursday, May 30 at 7:30-8:30 PDT.</w:t>
      </w:r>
    </w:p>
    <w:p w14:paraId="31DFCCE1" w14:textId="77777777" w:rsidR="007610A2" w:rsidRDefault="007610A2" w:rsidP="004839FF">
      <w:pPr>
        <w:pStyle w:val="ListParagraph"/>
        <w:numPr>
          <w:ilvl w:val="0"/>
          <w:numId w:val="0"/>
        </w:numPr>
        <w:ind w:left="720"/>
      </w:pPr>
      <w:bookmarkStart w:id="1" w:name="_GoBack"/>
      <w:bookmarkEnd w:id="1"/>
    </w:p>
    <w:sectPr w:rsidR="007610A2" w:rsidSect="005522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B71"/>
    <w:multiLevelType w:val="hybridMultilevel"/>
    <w:tmpl w:val="83942A14"/>
    <w:lvl w:ilvl="0" w:tplc="AFBE9AB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0AD"/>
    <w:multiLevelType w:val="hybridMultilevel"/>
    <w:tmpl w:val="067043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64A0B"/>
    <w:multiLevelType w:val="hybridMultilevel"/>
    <w:tmpl w:val="66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6383"/>
    <w:multiLevelType w:val="hybridMultilevel"/>
    <w:tmpl w:val="DA522E2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8C17BF2"/>
    <w:multiLevelType w:val="hybridMultilevel"/>
    <w:tmpl w:val="F64A0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F0CE3"/>
    <w:multiLevelType w:val="hybridMultilevel"/>
    <w:tmpl w:val="0A3CF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D1755"/>
    <w:multiLevelType w:val="hybridMultilevel"/>
    <w:tmpl w:val="543841BA"/>
    <w:lvl w:ilvl="0" w:tplc="AF7EF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4A85"/>
    <w:multiLevelType w:val="hybridMultilevel"/>
    <w:tmpl w:val="1304D6A0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4BB36037"/>
    <w:multiLevelType w:val="hybridMultilevel"/>
    <w:tmpl w:val="EED03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440460"/>
    <w:multiLevelType w:val="hybridMultilevel"/>
    <w:tmpl w:val="BD3656A4"/>
    <w:lvl w:ilvl="0" w:tplc="6A2A497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6B0C"/>
    <w:multiLevelType w:val="multilevel"/>
    <w:tmpl w:val="CF00A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4F3986"/>
    <w:multiLevelType w:val="hybridMultilevel"/>
    <w:tmpl w:val="AFB07CF6"/>
    <w:lvl w:ilvl="0" w:tplc="878EBFDC">
      <w:start w:val="1"/>
      <w:numFmt w:val="decimal"/>
      <w:lvlText w:val="%1."/>
      <w:lvlJc w:val="left"/>
      <w:pPr>
        <w:ind w:left="1023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43" w:hanging="360"/>
      </w:pPr>
    </w:lvl>
    <w:lvl w:ilvl="2" w:tplc="1009001B" w:tentative="1">
      <w:start w:val="1"/>
      <w:numFmt w:val="lowerRoman"/>
      <w:lvlText w:val="%3."/>
      <w:lvlJc w:val="right"/>
      <w:pPr>
        <w:ind w:left="2463" w:hanging="180"/>
      </w:pPr>
    </w:lvl>
    <w:lvl w:ilvl="3" w:tplc="1009000F" w:tentative="1">
      <w:start w:val="1"/>
      <w:numFmt w:val="decimal"/>
      <w:lvlText w:val="%4."/>
      <w:lvlJc w:val="left"/>
      <w:pPr>
        <w:ind w:left="3183" w:hanging="360"/>
      </w:pPr>
    </w:lvl>
    <w:lvl w:ilvl="4" w:tplc="10090019" w:tentative="1">
      <w:start w:val="1"/>
      <w:numFmt w:val="lowerLetter"/>
      <w:lvlText w:val="%5."/>
      <w:lvlJc w:val="left"/>
      <w:pPr>
        <w:ind w:left="3903" w:hanging="360"/>
      </w:pPr>
    </w:lvl>
    <w:lvl w:ilvl="5" w:tplc="1009001B" w:tentative="1">
      <w:start w:val="1"/>
      <w:numFmt w:val="lowerRoman"/>
      <w:lvlText w:val="%6."/>
      <w:lvlJc w:val="right"/>
      <w:pPr>
        <w:ind w:left="4623" w:hanging="180"/>
      </w:pPr>
    </w:lvl>
    <w:lvl w:ilvl="6" w:tplc="1009000F" w:tentative="1">
      <w:start w:val="1"/>
      <w:numFmt w:val="decimal"/>
      <w:lvlText w:val="%7."/>
      <w:lvlJc w:val="left"/>
      <w:pPr>
        <w:ind w:left="5343" w:hanging="360"/>
      </w:pPr>
    </w:lvl>
    <w:lvl w:ilvl="7" w:tplc="10090019" w:tentative="1">
      <w:start w:val="1"/>
      <w:numFmt w:val="lowerLetter"/>
      <w:lvlText w:val="%8."/>
      <w:lvlJc w:val="left"/>
      <w:pPr>
        <w:ind w:left="6063" w:hanging="360"/>
      </w:pPr>
    </w:lvl>
    <w:lvl w:ilvl="8" w:tplc="10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2" w15:restartNumberingAfterBreak="0">
    <w:nsid w:val="72306D15"/>
    <w:multiLevelType w:val="hybridMultilevel"/>
    <w:tmpl w:val="FBD25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AE"/>
    <w:rsid w:val="00022DE8"/>
    <w:rsid w:val="00024A38"/>
    <w:rsid w:val="00025684"/>
    <w:rsid w:val="00063484"/>
    <w:rsid w:val="000D18EA"/>
    <w:rsid w:val="000D41C0"/>
    <w:rsid w:val="000D4F54"/>
    <w:rsid w:val="00107486"/>
    <w:rsid w:val="00125991"/>
    <w:rsid w:val="00183232"/>
    <w:rsid w:val="001B5BF2"/>
    <w:rsid w:val="001E1694"/>
    <w:rsid w:val="00215B85"/>
    <w:rsid w:val="0022789C"/>
    <w:rsid w:val="00245B80"/>
    <w:rsid w:val="002473C1"/>
    <w:rsid w:val="00271D8C"/>
    <w:rsid w:val="00290314"/>
    <w:rsid w:val="002F087A"/>
    <w:rsid w:val="0043752C"/>
    <w:rsid w:val="0045466D"/>
    <w:rsid w:val="004839FF"/>
    <w:rsid w:val="00485040"/>
    <w:rsid w:val="004B7AB8"/>
    <w:rsid w:val="00502762"/>
    <w:rsid w:val="00512B8C"/>
    <w:rsid w:val="0053740E"/>
    <w:rsid w:val="00541CBA"/>
    <w:rsid w:val="0055225B"/>
    <w:rsid w:val="00597B4E"/>
    <w:rsid w:val="005A1A0D"/>
    <w:rsid w:val="005C793B"/>
    <w:rsid w:val="005D5A34"/>
    <w:rsid w:val="006109D3"/>
    <w:rsid w:val="00691BA6"/>
    <w:rsid w:val="006F0D0E"/>
    <w:rsid w:val="00711401"/>
    <w:rsid w:val="007233F7"/>
    <w:rsid w:val="007610A2"/>
    <w:rsid w:val="007D7B3A"/>
    <w:rsid w:val="00806789"/>
    <w:rsid w:val="00811C41"/>
    <w:rsid w:val="008134CB"/>
    <w:rsid w:val="00826724"/>
    <w:rsid w:val="0083010A"/>
    <w:rsid w:val="008D4057"/>
    <w:rsid w:val="00917528"/>
    <w:rsid w:val="00941869"/>
    <w:rsid w:val="0096125D"/>
    <w:rsid w:val="00965C51"/>
    <w:rsid w:val="00990FE7"/>
    <w:rsid w:val="009C0E52"/>
    <w:rsid w:val="009C0F5C"/>
    <w:rsid w:val="009D6240"/>
    <w:rsid w:val="009F4D60"/>
    <w:rsid w:val="00A11067"/>
    <w:rsid w:val="00A16C24"/>
    <w:rsid w:val="00A2732D"/>
    <w:rsid w:val="00A27C52"/>
    <w:rsid w:val="00A32C44"/>
    <w:rsid w:val="00A81B1D"/>
    <w:rsid w:val="00A95D08"/>
    <w:rsid w:val="00AA3812"/>
    <w:rsid w:val="00AA4847"/>
    <w:rsid w:val="00AC1E52"/>
    <w:rsid w:val="00AC4EB5"/>
    <w:rsid w:val="00AD7003"/>
    <w:rsid w:val="00AD7E94"/>
    <w:rsid w:val="00AF7464"/>
    <w:rsid w:val="00B0122C"/>
    <w:rsid w:val="00B9692A"/>
    <w:rsid w:val="00BD3643"/>
    <w:rsid w:val="00C22460"/>
    <w:rsid w:val="00C358B5"/>
    <w:rsid w:val="00C56844"/>
    <w:rsid w:val="00C61873"/>
    <w:rsid w:val="00C7580B"/>
    <w:rsid w:val="00C80457"/>
    <w:rsid w:val="00C843B8"/>
    <w:rsid w:val="00CB237D"/>
    <w:rsid w:val="00CB41BE"/>
    <w:rsid w:val="00CB4BB2"/>
    <w:rsid w:val="00D849ED"/>
    <w:rsid w:val="00DB77AE"/>
    <w:rsid w:val="00E03488"/>
    <w:rsid w:val="00E05277"/>
    <w:rsid w:val="00E0619C"/>
    <w:rsid w:val="00E4291F"/>
    <w:rsid w:val="00E4425E"/>
    <w:rsid w:val="00E72FFF"/>
    <w:rsid w:val="00E93FA8"/>
    <w:rsid w:val="00E96B34"/>
    <w:rsid w:val="00EA5128"/>
    <w:rsid w:val="00EC1347"/>
    <w:rsid w:val="00EE6037"/>
    <w:rsid w:val="00F35944"/>
    <w:rsid w:val="00F375ED"/>
    <w:rsid w:val="00F715F7"/>
    <w:rsid w:val="00F74816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7D92"/>
  <w15:chartTrackingRefBased/>
  <w15:docId w15:val="{0DDD5987-868E-4510-8F87-4C10EE8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30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AE"/>
    <w:pPr>
      <w:spacing w:before="120" w:after="0"/>
      <w:ind w:left="0" w:firstLine="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F7"/>
    <w:pPr>
      <w:keepNext/>
      <w:keepLines/>
      <w:numPr>
        <w:numId w:val="2"/>
      </w:numPr>
      <w:spacing w:before="240"/>
      <w:ind w:left="1023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715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F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5F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715F7"/>
    <w:rPr>
      <w:b/>
      <w:bCs/>
    </w:rPr>
  </w:style>
  <w:style w:type="character" w:styleId="Emphasis">
    <w:name w:val="Emphasis"/>
    <w:basedOn w:val="DefaultParagraphFont"/>
    <w:uiPriority w:val="20"/>
    <w:qFormat/>
    <w:rsid w:val="00F715F7"/>
    <w:rPr>
      <w:i/>
      <w:iCs/>
    </w:rPr>
  </w:style>
  <w:style w:type="paragraph" w:styleId="ListParagraph">
    <w:name w:val="List Paragraph"/>
    <w:basedOn w:val="Normal"/>
    <w:uiPriority w:val="34"/>
    <w:qFormat/>
    <w:rsid w:val="00EA5128"/>
    <w:pPr>
      <w:numPr>
        <w:numId w:val="4"/>
      </w:numPr>
      <w:spacing w:before="0"/>
      <w:ind w:left="294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DB77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60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60"/>
    <w:rPr>
      <w:rFonts w:ascii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60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0619C"/>
    <w:pPr>
      <w:spacing w:before="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D7003"/>
    <w:pPr>
      <w:spacing w:after="0"/>
      <w:ind w:left="0" w:firstLine="0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Daghofer</dc:creator>
  <cp:keywords/>
  <dc:description/>
  <cp:lastModifiedBy>Diana Daghofer</cp:lastModifiedBy>
  <cp:revision>4</cp:revision>
  <cp:lastPrinted>2019-04-25T13:41:00Z</cp:lastPrinted>
  <dcterms:created xsi:type="dcterms:W3CDTF">2019-05-07T23:22:00Z</dcterms:created>
  <dcterms:modified xsi:type="dcterms:W3CDTF">2019-05-07T23:47:00Z</dcterms:modified>
</cp:coreProperties>
</file>