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14" w:rsidRPr="006109D3" w:rsidRDefault="00807514" w:rsidP="00B84AE8">
      <w:pPr>
        <w:spacing w:line="120" w:lineRule="auto"/>
        <w:jc w:val="center"/>
        <w:rPr>
          <w:b/>
          <w:i/>
        </w:rPr>
      </w:pPr>
      <w:bookmarkStart w:id="0" w:name="_Hlk4766476"/>
      <w:r w:rsidRPr="006109D3">
        <w:rPr>
          <w:b/>
          <w:i/>
        </w:rPr>
        <w:t>Embed</w:t>
      </w:r>
      <w:r>
        <w:rPr>
          <w:b/>
          <w:i/>
        </w:rPr>
        <w:t>SDH</w:t>
      </w:r>
    </w:p>
    <w:p w:rsidR="00807514" w:rsidRPr="006109D3" w:rsidRDefault="00807514" w:rsidP="00B84AE8">
      <w:pPr>
        <w:spacing w:line="120" w:lineRule="auto"/>
        <w:jc w:val="center"/>
        <w:rPr>
          <w:b/>
          <w:i/>
        </w:rPr>
      </w:pPr>
      <w:r w:rsidRPr="006109D3">
        <w:rPr>
          <w:b/>
          <w:i/>
        </w:rPr>
        <w:t>Meeting of Wave I Communities</w:t>
      </w:r>
    </w:p>
    <w:bookmarkEnd w:id="0"/>
    <w:p w:rsidR="00807514" w:rsidRDefault="00807514" w:rsidP="00B84AE8">
      <w:pPr>
        <w:spacing w:line="120" w:lineRule="auto"/>
        <w:jc w:val="center"/>
        <w:rPr>
          <w:i/>
        </w:rPr>
      </w:pPr>
      <w:r>
        <w:rPr>
          <w:i/>
        </w:rPr>
        <w:t>June 27, 2019, 7:30-8:30 a.m.</w:t>
      </w:r>
    </w:p>
    <w:p w:rsidR="00B84AE8" w:rsidRDefault="00B84AE8" w:rsidP="00B84AE8">
      <w:pPr>
        <w:spacing w:line="120" w:lineRule="auto"/>
        <w:jc w:val="center"/>
        <w:rPr>
          <w:i/>
        </w:rPr>
      </w:pPr>
      <w:r>
        <w:rPr>
          <w:i/>
        </w:rPr>
        <w:t>Draft Minutes</w:t>
      </w:r>
    </w:p>
    <w:p w:rsidR="0092285E" w:rsidRDefault="00807514" w:rsidP="00B84AE8">
      <w:pPr>
        <w:rPr>
          <w:rFonts w:eastAsia="Times New Roman" w:cs="Times New Roman"/>
          <w:szCs w:val="24"/>
        </w:rPr>
      </w:pPr>
      <w:r w:rsidRPr="004E1A3B">
        <w:rPr>
          <w:rFonts w:eastAsia="Times New Roman" w:cs="Times New Roman"/>
          <w:b/>
          <w:szCs w:val="24"/>
        </w:rPr>
        <w:t>Participants:</w:t>
      </w:r>
      <w:r w:rsidRPr="004E1A3B">
        <w:rPr>
          <w:rFonts w:eastAsia="Times New Roman" w:cs="Times New Roman"/>
          <w:szCs w:val="24"/>
        </w:rPr>
        <w:t xml:space="preserve"> </w:t>
      </w:r>
      <w:r w:rsidR="001F57A4" w:rsidRPr="004E1A3B">
        <w:rPr>
          <w:rFonts w:eastAsia="Times New Roman" w:cs="Times New Roman"/>
          <w:szCs w:val="24"/>
        </w:rPr>
        <w:t xml:space="preserve"> </w:t>
      </w: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3278"/>
        <w:gridCol w:w="3383"/>
        <w:gridCol w:w="3594"/>
      </w:tblGrid>
      <w:tr w:rsidR="009569B3" w:rsidRPr="00B84AE8" w:rsidTr="00B84AE8">
        <w:trPr>
          <w:trHeight w:val="377"/>
        </w:trPr>
        <w:tc>
          <w:tcPr>
            <w:tcW w:w="1598" w:type="pct"/>
          </w:tcPr>
          <w:p w:rsidR="009569B3" w:rsidRPr="00B84AE8" w:rsidRDefault="009569B3" w:rsidP="0092285E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Georgia Bekiou, ED, Burnaby Division</w:t>
            </w:r>
          </w:p>
        </w:tc>
        <w:tc>
          <w:tcPr>
            <w:tcW w:w="1649" w:type="pct"/>
          </w:tcPr>
          <w:p w:rsidR="009569B3" w:rsidRPr="00B84AE8" w:rsidRDefault="009569B3" w:rsidP="0092285E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Terry Brock, Regional Liaison, Fraser</w:t>
            </w:r>
          </w:p>
        </w:tc>
        <w:tc>
          <w:tcPr>
            <w:tcW w:w="1752" w:type="pct"/>
          </w:tcPr>
          <w:p w:rsidR="009569B3" w:rsidRPr="00B84AE8" w:rsidRDefault="009569B3" w:rsidP="0092285E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Paula Carr, Manager, GPSC Liaisons</w:t>
            </w:r>
          </w:p>
        </w:tc>
      </w:tr>
      <w:tr w:rsidR="009569B3" w:rsidRPr="00B84AE8" w:rsidTr="00B84AE8">
        <w:trPr>
          <w:trHeight w:val="530"/>
        </w:trPr>
        <w:tc>
          <w:tcPr>
            <w:tcW w:w="1598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Diana Daghofer, Consultant, Wellspring Strategies</w:t>
            </w:r>
          </w:p>
        </w:tc>
        <w:tc>
          <w:tcPr>
            <w:tcW w:w="1649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Andrew Earnshaw, ED Kootenay Boundary Division</w:t>
            </w:r>
          </w:p>
        </w:tc>
        <w:tc>
          <w:tcPr>
            <w:tcW w:w="1752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Olive Goodwin, ED Prince George Division</w:t>
            </w:r>
          </w:p>
        </w:tc>
      </w:tr>
      <w:tr w:rsidR="009569B3" w:rsidRPr="00B84AE8" w:rsidTr="00B84AE8">
        <w:trPr>
          <w:trHeight w:val="440"/>
        </w:trPr>
        <w:tc>
          <w:tcPr>
            <w:tcW w:w="1598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 xml:space="preserve">Nicole </w:t>
            </w:r>
            <w:proofErr w:type="spellStart"/>
            <w:r w:rsidRPr="00B84AE8">
              <w:rPr>
                <w:rFonts w:eastAsia="Times New Roman" w:cs="Times New Roman"/>
                <w:sz w:val="18"/>
                <w:szCs w:val="18"/>
              </w:rPr>
              <w:t>Halbauer</w:t>
            </w:r>
            <w:proofErr w:type="spellEnd"/>
            <w:r w:rsidRPr="00B84AE8">
              <w:rPr>
                <w:rFonts w:eastAsia="Times New Roman" w:cs="Times New Roman"/>
                <w:sz w:val="18"/>
                <w:szCs w:val="18"/>
              </w:rPr>
              <w:t>, ED Pacific Northwest Division</w:t>
            </w:r>
          </w:p>
        </w:tc>
        <w:tc>
          <w:tcPr>
            <w:tcW w:w="1649" w:type="pct"/>
          </w:tcPr>
          <w:p w:rsidR="009569B3" w:rsidRPr="00B84AE8" w:rsidRDefault="009569B3" w:rsidP="009569B3">
            <w:pPr>
              <w:spacing w:before="0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Cheryl Hogg, COO, Vancouver Division</w:t>
            </w:r>
          </w:p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2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Dr. Charlene Lui, Chair Burnaby Division</w:t>
            </w:r>
          </w:p>
        </w:tc>
      </w:tr>
      <w:tr w:rsidR="009569B3" w:rsidRPr="00B84AE8" w:rsidTr="00B84AE8">
        <w:trPr>
          <w:trHeight w:val="476"/>
        </w:trPr>
        <w:tc>
          <w:tcPr>
            <w:tcW w:w="1598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Marina McBride, Regional Liaison, Vancouver Coastal</w:t>
            </w:r>
          </w:p>
        </w:tc>
        <w:tc>
          <w:tcPr>
            <w:tcW w:w="1649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Lucas Parker, Regional Liaison, Vancouver Island</w:t>
            </w:r>
          </w:p>
        </w:tc>
        <w:tc>
          <w:tcPr>
            <w:tcW w:w="1752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Denise Ralph, ED Richmond Division</w:t>
            </w:r>
          </w:p>
        </w:tc>
      </w:tr>
      <w:tr w:rsidR="009569B3" w:rsidRPr="00B84AE8" w:rsidTr="00B84AE8">
        <w:trPr>
          <w:trHeight w:val="530"/>
        </w:trPr>
        <w:tc>
          <w:tcPr>
            <w:tcW w:w="1598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Jillian Wong, Community Liaison, Interior</w:t>
            </w:r>
          </w:p>
        </w:tc>
        <w:tc>
          <w:tcPr>
            <w:tcW w:w="1649" w:type="pct"/>
          </w:tcPr>
          <w:p w:rsidR="009569B3" w:rsidRPr="00B84AE8" w:rsidRDefault="009569B3" w:rsidP="009569B3">
            <w:pPr>
              <w:spacing w:before="0"/>
              <w:rPr>
                <w:rFonts w:eastAsia="Times New Roman" w:cs="Times New Roman"/>
                <w:sz w:val="18"/>
                <w:szCs w:val="18"/>
              </w:rPr>
            </w:pPr>
            <w:r w:rsidRPr="00B84AE8">
              <w:rPr>
                <w:rFonts w:eastAsia="Times New Roman" w:cs="Times New Roman"/>
                <w:sz w:val="18"/>
                <w:szCs w:val="18"/>
              </w:rPr>
              <w:t>Kathryn Wozny, Community Liaison, Vancouver Coastal</w:t>
            </w:r>
          </w:p>
        </w:tc>
        <w:tc>
          <w:tcPr>
            <w:tcW w:w="1752" w:type="pct"/>
          </w:tcPr>
          <w:p w:rsidR="009569B3" w:rsidRPr="00B84AE8" w:rsidRDefault="009569B3" w:rsidP="009569B3">
            <w:pPr>
              <w:spacing w:before="0"/>
              <w:ind w:left="72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2285E" w:rsidRPr="00B84AE8" w:rsidRDefault="0092285E" w:rsidP="0092285E">
      <w:pPr>
        <w:spacing w:before="0"/>
        <w:rPr>
          <w:rFonts w:eastAsia="Times New Roman" w:cs="Times New Roman"/>
          <w:sz w:val="18"/>
          <w:szCs w:val="18"/>
        </w:rPr>
      </w:pPr>
    </w:p>
    <w:p w:rsidR="00B84AE8" w:rsidRPr="0038103B" w:rsidRDefault="00807514" w:rsidP="00523518">
      <w:pPr>
        <w:spacing w:before="0"/>
        <w:ind w:left="-450"/>
        <w:rPr>
          <w:rFonts w:eastAsia="Times New Roman" w:cs="Times New Roman"/>
          <w:szCs w:val="24"/>
        </w:rPr>
      </w:pPr>
      <w:r w:rsidRPr="0038103B">
        <w:rPr>
          <w:rFonts w:eastAsia="Times New Roman" w:cs="Times New Roman"/>
          <w:b/>
          <w:szCs w:val="24"/>
        </w:rPr>
        <w:t>Chair:</w:t>
      </w:r>
      <w:r w:rsidRPr="0038103B">
        <w:rPr>
          <w:rFonts w:eastAsia="Times New Roman" w:cs="Times New Roman"/>
          <w:szCs w:val="24"/>
        </w:rPr>
        <w:t xml:space="preserve"> </w:t>
      </w:r>
      <w:r w:rsidR="004E1A3B" w:rsidRPr="0038103B">
        <w:rPr>
          <w:rFonts w:eastAsia="Times New Roman" w:cs="Times New Roman"/>
          <w:szCs w:val="24"/>
        </w:rPr>
        <w:t xml:space="preserve">Dr. </w:t>
      </w:r>
      <w:r w:rsidRPr="0038103B">
        <w:rPr>
          <w:rFonts w:eastAsia="Times New Roman" w:cs="Times New Roman"/>
          <w:szCs w:val="24"/>
        </w:rPr>
        <w:t>Fiona</w:t>
      </w:r>
      <w:r w:rsidR="004E1A3B" w:rsidRPr="0038103B">
        <w:rPr>
          <w:rFonts w:eastAsia="Times New Roman" w:cs="Times New Roman"/>
          <w:szCs w:val="24"/>
        </w:rPr>
        <w:t xml:space="preserve"> Duncan</w:t>
      </w:r>
    </w:p>
    <w:p w:rsidR="00807514" w:rsidRPr="0038103B" w:rsidRDefault="00807514" w:rsidP="00B84AE8">
      <w:pPr>
        <w:spacing w:before="0"/>
        <w:ind w:left="72"/>
      </w:pPr>
      <w:r w:rsidRPr="0038103B">
        <w:t xml:space="preserve"> </w:t>
      </w:r>
    </w:p>
    <w:p w:rsidR="00807514" w:rsidRPr="0038103B" w:rsidRDefault="00807514" w:rsidP="00523518">
      <w:pPr>
        <w:pStyle w:val="ListParagraph"/>
        <w:numPr>
          <w:ilvl w:val="0"/>
          <w:numId w:val="3"/>
        </w:numPr>
        <w:ind w:left="-360" w:right="-450"/>
      </w:pPr>
      <w:r w:rsidRPr="0038103B">
        <w:rPr>
          <w:b/>
          <w:bCs/>
        </w:rPr>
        <w:t>Minutes/agenda</w:t>
      </w:r>
      <w:r w:rsidRPr="0038103B">
        <w:t xml:space="preserve"> – </w:t>
      </w:r>
      <w:r w:rsidR="00E359AA" w:rsidRPr="0038103B">
        <w:t xml:space="preserve">No additions </w:t>
      </w:r>
      <w:r w:rsidR="001F57A4" w:rsidRPr="0038103B">
        <w:t>were made to</w:t>
      </w:r>
      <w:r w:rsidR="00E359AA" w:rsidRPr="0038103B">
        <w:t xml:space="preserve"> the agenda. Terry noted that the current time, while it does not meet everyone’s needs, was the most convenient for most members</w:t>
      </w:r>
      <w:r w:rsidR="001F57A4" w:rsidRPr="0038103B">
        <w:t>, according to the recent Doodle poll</w:t>
      </w:r>
      <w:r w:rsidR="00E359AA" w:rsidRPr="0038103B">
        <w:t xml:space="preserve">. </w:t>
      </w:r>
      <w:r w:rsidR="00E11378" w:rsidRPr="0038103B">
        <w:t>Olive has a conflict, so will find another person to represent Prince George</w:t>
      </w:r>
      <w:r w:rsidR="001F57A4" w:rsidRPr="0038103B">
        <w:t xml:space="preserve"> in the fall</w:t>
      </w:r>
      <w:r w:rsidR="00E11378" w:rsidRPr="0038103B">
        <w:t xml:space="preserve">. </w:t>
      </w:r>
      <w:r w:rsidR="00E359AA" w:rsidRPr="0038103B">
        <w:t xml:space="preserve">Minutes </w:t>
      </w:r>
      <w:r w:rsidR="001F57A4" w:rsidRPr="0038103B">
        <w:t>from May were</w:t>
      </w:r>
      <w:r w:rsidR="00E359AA" w:rsidRPr="0038103B">
        <w:t xml:space="preserve"> a</w:t>
      </w:r>
      <w:r w:rsidRPr="0038103B">
        <w:t>ccept</w:t>
      </w:r>
      <w:r w:rsidR="00E359AA" w:rsidRPr="0038103B">
        <w:t>ed</w:t>
      </w:r>
      <w:r w:rsidR="001F57A4" w:rsidRPr="0038103B">
        <w:t xml:space="preserve"> as presented</w:t>
      </w:r>
      <w:r w:rsidR="00E359AA" w:rsidRPr="0038103B">
        <w:t>.</w:t>
      </w:r>
    </w:p>
    <w:p w:rsidR="00E359AA" w:rsidRPr="0038103B" w:rsidRDefault="00E359AA" w:rsidP="00523518">
      <w:pPr>
        <w:pStyle w:val="ListParagraph"/>
        <w:ind w:left="-360" w:right="-450"/>
      </w:pPr>
    </w:p>
    <w:p w:rsidR="00E359AA" w:rsidRPr="0038103B" w:rsidRDefault="00807514" w:rsidP="00523518">
      <w:pPr>
        <w:pStyle w:val="ListParagraph"/>
        <w:numPr>
          <w:ilvl w:val="0"/>
          <w:numId w:val="3"/>
        </w:numPr>
        <w:ind w:left="-360" w:right="-450"/>
      </w:pPr>
      <w:r w:rsidRPr="0038103B">
        <w:rPr>
          <w:b/>
          <w:bCs/>
        </w:rPr>
        <w:t>Terms of Reference</w:t>
      </w:r>
      <w:r w:rsidRPr="0038103B">
        <w:t xml:space="preserve"> – </w:t>
      </w:r>
      <w:r w:rsidR="00E11378" w:rsidRPr="0038103B">
        <w:t xml:space="preserve">The ToR were accepted, including the concept of a rotating chair. </w:t>
      </w:r>
    </w:p>
    <w:p w:rsidR="00E359AA" w:rsidRPr="0038103B" w:rsidRDefault="00E359AA" w:rsidP="00523518">
      <w:pPr>
        <w:pStyle w:val="ListParagraph"/>
        <w:ind w:left="-360" w:right="-450"/>
      </w:pPr>
    </w:p>
    <w:p w:rsidR="00807514" w:rsidRPr="0038103B" w:rsidRDefault="00807514" w:rsidP="00523518">
      <w:pPr>
        <w:pStyle w:val="ListParagraph"/>
        <w:numPr>
          <w:ilvl w:val="0"/>
          <w:numId w:val="3"/>
        </w:numPr>
        <w:ind w:left="-360" w:right="-450"/>
      </w:pPr>
      <w:r w:rsidRPr="0038103B">
        <w:rPr>
          <w:b/>
          <w:bCs/>
        </w:rPr>
        <w:t>Focus Presentation:</w:t>
      </w:r>
      <w:r w:rsidRPr="0038103B">
        <w:t xml:space="preserve"> Patient Attachment – How can attending to the SDH within PCN increase patient attachment, access and longitudinal relationships?</w:t>
      </w:r>
      <w:r w:rsidR="005C0357" w:rsidRPr="0038103B">
        <w:t xml:space="preserve">  </w:t>
      </w:r>
      <w:r w:rsidR="00523518" w:rsidRPr="0038103B">
        <w:t>H</w:t>
      </w:r>
      <w:r w:rsidR="005C0357" w:rsidRPr="0038103B">
        <w:t xml:space="preserve">ighlights of the conversation are outlined below: </w:t>
      </w:r>
    </w:p>
    <w:p w:rsidR="00144609" w:rsidRPr="0038103B" w:rsidRDefault="00144609" w:rsidP="00523518">
      <w:pPr>
        <w:pStyle w:val="ListParagraph"/>
        <w:ind w:left="-360" w:right="-450"/>
      </w:pPr>
    </w:p>
    <w:p w:rsidR="00144609" w:rsidRPr="0038103B" w:rsidRDefault="00144609" w:rsidP="00523518">
      <w:pPr>
        <w:pStyle w:val="ListParagraph"/>
        <w:ind w:left="-360" w:right="-450"/>
      </w:pPr>
      <w:r w:rsidRPr="0038103B">
        <w:rPr>
          <w:i/>
          <w:iCs/>
        </w:rPr>
        <w:t>Olive</w:t>
      </w:r>
      <w:r w:rsidRPr="0038103B">
        <w:t>: PG</w:t>
      </w:r>
      <w:r w:rsidR="008E48DF" w:rsidRPr="0038103B">
        <w:t xml:space="preserve"> has</w:t>
      </w:r>
      <w:r w:rsidRPr="0038103B">
        <w:t xml:space="preserve"> focused on </w:t>
      </w:r>
      <w:r w:rsidR="008E48DF" w:rsidRPr="0038103B">
        <w:t xml:space="preserve">the </w:t>
      </w:r>
      <w:r w:rsidRPr="0038103B">
        <w:t>most vulnerable people in our community</w:t>
      </w:r>
      <w:r w:rsidR="00AE43D2" w:rsidRPr="0038103B">
        <w:t>.</w:t>
      </w:r>
      <w:r w:rsidR="008E48DF" w:rsidRPr="0038103B">
        <w:t xml:space="preserve">, </w:t>
      </w:r>
      <w:r w:rsidR="00AE43D2" w:rsidRPr="0038103B">
        <w:t xml:space="preserve">We </w:t>
      </w:r>
      <w:r w:rsidR="00B84AE8" w:rsidRPr="0038103B">
        <w:t>h</w:t>
      </w:r>
      <w:r w:rsidRPr="0038103B">
        <w:t xml:space="preserve">ave </w:t>
      </w:r>
      <w:r w:rsidR="00AE43D2" w:rsidRPr="0038103B">
        <w:t xml:space="preserve">bolstered a native health storefront clinic and </w:t>
      </w:r>
      <w:r w:rsidRPr="0038103B">
        <w:t xml:space="preserve">started an </w:t>
      </w:r>
      <w:r w:rsidR="008E48DF" w:rsidRPr="0038103B">
        <w:t>innovative outreach service to unattached people</w:t>
      </w:r>
      <w:r w:rsidRPr="0038103B">
        <w:t xml:space="preserve"> </w:t>
      </w:r>
      <w:r w:rsidR="00AE43D2" w:rsidRPr="0038103B">
        <w:t>that</w:t>
      </w:r>
      <w:r w:rsidRPr="0038103B">
        <w:t xml:space="preserve"> bring</w:t>
      </w:r>
      <w:r w:rsidR="00AE43D2" w:rsidRPr="0038103B">
        <w:t>s</w:t>
      </w:r>
      <w:r w:rsidRPr="0038103B">
        <w:t xml:space="preserve"> primary care to them, where they are. </w:t>
      </w:r>
      <w:r w:rsidR="008E48DF" w:rsidRPr="0038103B">
        <w:t xml:space="preserve">In this way, we can </w:t>
      </w:r>
      <w:r w:rsidRPr="0038103B">
        <w:t xml:space="preserve">connect them with a longitudinal chart, </w:t>
      </w:r>
      <w:r w:rsidR="008E48DF" w:rsidRPr="0038103B">
        <w:t xml:space="preserve">including </w:t>
      </w:r>
      <w:r w:rsidRPr="0038103B">
        <w:t xml:space="preserve">any other health services they use (hospital, specialty services, etc.). </w:t>
      </w:r>
    </w:p>
    <w:p w:rsidR="00144609" w:rsidRPr="0038103B" w:rsidRDefault="00144609" w:rsidP="00523518">
      <w:pPr>
        <w:pStyle w:val="ListParagraph"/>
        <w:ind w:left="-360" w:right="-450"/>
      </w:pPr>
    </w:p>
    <w:p w:rsidR="00144609" w:rsidRPr="0038103B" w:rsidRDefault="005A4D34" w:rsidP="00523518">
      <w:pPr>
        <w:pStyle w:val="ListParagraph"/>
        <w:ind w:left="-360" w:right="-450"/>
      </w:pPr>
      <w:r w:rsidRPr="0038103B">
        <w:rPr>
          <w:i/>
          <w:iCs/>
        </w:rPr>
        <w:t>Andrew:</w:t>
      </w:r>
      <w:r w:rsidRPr="0038103B">
        <w:t xml:space="preserve"> </w:t>
      </w:r>
      <w:r w:rsidR="0098420B" w:rsidRPr="0038103B">
        <w:t xml:space="preserve">KB </w:t>
      </w:r>
      <w:r w:rsidR="008E48DF" w:rsidRPr="0038103B">
        <w:t>s</w:t>
      </w:r>
      <w:r w:rsidRPr="0038103B">
        <w:t xml:space="preserve">tarted </w:t>
      </w:r>
      <w:r w:rsidR="008E48DF" w:rsidRPr="0038103B">
        <w:t>by</w:t>
      </w:r>
      <w:r w:rsidRPr="0038103B">
        <w:t xml:space="preserve"> cleaning up </w:t>
      </w:r>
      <w:r w:rsidR="00AE43D2" w:rsidRPr="0038103B">
        <w:t xml:space="preserve">our </w:t>
      </w:r>
      <w:r w:rsidRPr="0038103B">
        <w:t>patient panel.</w:t>
      </w:r>
      <w:r w:rsidR="00D32DCA" w:rsidRPr="0038103B">
        <w:t xml:space="preserve"> </w:t>
      </w:r>
      <w:r w:rsidR="008E48DF" w:rsidRPr="0038103B">
        <w:t>By i</w:t>
      </w:r>
      <w:r w:rsidR="00D32DCA" w:rsidRPr="0038103B">
        <w:t xml:space="preserve">solating </w:t>
      </w:r>
      <w:r w:rsidR="008E48DF" w:rsidRPr="0038103B">
        <w:t>these</w:t>
      </w:r>
      <w:r w:rsidR="00D32DCA" w:rsidRPr="0038103B">
        <w:t xml:space="preserve"> </w:t>
      </w:r>
      <w:r w:rsidR="008E48DF" w:rsidRPr="0038103B">
        <w:t xml:space="preserve">higher-needs </w:t>
      </w:r>
      <w:r w:rsidR="00D32DCA" w:rsidRPr="0038103B">
        <w:t>patients</w:t>
      </w:r>
      <w:r w:rsidR="008E48DF" w:rsidRPr="0038103B">
        <w:t xml:space="preserve">, we hope to </w:t>
      </w:r>
      <w:r w:rsidR="00D32DCA" w:rsidRPr="0038103B">
        <w:t xml:space="preserve">see the most improvement in capacity of physician time. </w:t>
      </w:r>
      <w:r w:rsidR="008E48DF" w:rsidRPr="0038103B">
        <w:t xml:space="preserve">As such, </w:t>
      </w:r>
      <w:r w:rsidR="00D32DCA" w:rsidRPr="0038103B">
        <w:t>we see SW as a key resource</w:t>
      </w:r>
      <w:r w:rsidR="008E48DF" w:rsidRPr="0038103B">
        <w:t xml:space="preserve"> to </w:t>
      </w:r>
      <w:r w:rsidR="00D32DCA" w:rsidRPr="0038103B">
        <w:t xml:space="preserve">free up physician </w:t>
      </w:r>
      <w:r w:rsidR="008E48DF" w:rsidRPr="0038103B">
        <w:t>time</w:t>
      </w:r>
      <w:r w:rsidR="00D32DCA" w:rsidRPr="0038103B">
        <w:t xml:space="preserve"> and therefore, </w:t>
      </w:r>
      <w:r w:rsidR="008E48DF" w:rsidRPr="0038103B">
        <w:t xml:space="preserve">increase opportunities for </w:t>
      </w:r>
      <w:r w:rsidR="00D32DCA" w:rsidRPr="0038103B">
        <w:t xml:space="preserve">attachment. </w:t>
      </w:r>
    </w:p>
    <w:p w:rsidR="00D32DCA" w:rsidRPr="0038103B" w:rsidRDefault="00D32DCA" w:rsidP="00523518">
      <w:pPr>
        <w:pStyle w:val="ListParagraph"/>
        <w:ind w:left="-360" w:right="-450"/>
      </w:pPr>
    </w:p>
    <w:p w:rsidR="00A51552" w:rsidRPr="0038103B" w:rsidRDefault="00D32DCA" w:rsidP="00523518">
      <w:pPr>
        <w:pStyle w:val="ListParagraph"/>
        <w:ind w:left="-360" w:right="-450"/>
      </w:pPr>
      <w:r w:rsidRPr="0038103B">
        <w:rPr>
          <w:i/>
          <w:iCs/>
        </w:rPr>
        <w:t>Olive</w:t>
      </w:r>
      <w:r w:rsidRPr="0038103B">
        <w:t xml:space="preserve"> –</w:t>
      </w:r>
      <w:r w:rsidR="00A51552" w:rsidRPr="0038103B">
        <w:t xml:space="preserve"> The</w:t>
      </w:r>
      <w:r w:rsidRPr="0038103B">
        <w:t xml:space="preserve"> goals in our Service Plans</w:t>
      </w:r>
      <w:r w:rsidR="00A51552" w:rsidRPr="0038103B">
        <w:t xml:space="preserve"> related to </w:t>
      </w:r>
      <w:r w:rsidRPr="0038103B">
        <w:t xml:space="preserve">supporting patients and supporting practitioners to work to </w:t>
      </w:r>
      <w:r w:rsidR="00A51552" w:rsidRPr="0038103B">
        <w:t xml:space="preserve">their </w:t>
      </w:r>
      <w:r w:rsidRPr="0038103B">
        <w:t xml:space="preserve">scope of practice. </w:t>
      </w:r>
      <w:r w:rsidR="00A51552" w:rsidRPr="0038103B">
        <w:t>High-needs</w:t>
      </w:r>
      <w:r w:rsidRPr="0038103B">
        <w:t xml:space="preserve"> patients often don’t fit into the ‘fee for service’ model</w:t>
      </w:r>
      <w:r w:rsidR="00A51552" w:rsidRPr="0038103B">
        <w:t>, so the m</w:t>
      </w:r>
      <w:r w:rsidRPr="0038103B">
        <w:t>ore emphasis</w:t>
      </w:r>
      <w:r w:rsidR="00A51552" w:rsidRPr="0038103B">
        <w:t xml:space="preserve"> that</w:t>
      </w:r>
      <w:r w:rsidRPr="0038103B">
        <w:t xml:space="preserve"> is put onto attaching patients, the less ‘</w:t>
      </w:r>
      <w:r w:rsidR="00A51552" w:rsidRPr="0038103B">
        <w:t>return on investment’</w:t>
      </w:r>
      <w:r w:rsidRPr="0038103B">
        <w:t xml:space="preserve"> will come from addressing SDH needs. </w:t>
      </w:r>
    </w:p>
    <w:p w:rsidR="005C0357" w:rsidRPr="0038103B" w:rsidRDefault="005C0357" w:rsidP="00523518">
      <w:pPr>
        <w:pStyle w:val="ListParagraph"/>
        <w:ind w:left="-360" w:right="-450"/>
      </w:pPr>
    </w:p>
    <w:p w:rsidR="00D32DCA" w:rsidRPr="0038103B" w:rsidRDefault="00D32DCA" w:rsidP="00523518">
      <w:pPr>
        <w:pStyle w:val="ListParagraph"/>
        <w:ind w:left="-360" w:right="-450"/>
      </w:pPr>
      <w:r w:rsidRPr="0038103B">
        <w:rPr>
          <w:i/>
          <w:iCs/>
        </w:rPr>
        <w:t>Denise</w:t>
      </w:r>
      <w:r w:rsidRPr="0038103B">
        <w:t xml:space="preserve"> – </w:t>
      </w:r>
      <w:r w:rsidR="00A51552" w:rsidRPr="0038103B">
        <w:t xml:space="preserve">In our area, you </w:t>
      </w:r>
      <w:r w:rsidRPr="0038103B">
        <w:t>can’t get too far on SDH until we look at cultural competency. How do practitioners deal with that in terms of role development and design</w:t>
      </w:r>
      <w:r w:rsidR="00A51552" w:rsidRPr="0038103B">
        <w:t>?</w:t>
      </w:r>
      <w:r w:rsidRPr="0038103B">
        <w:t xml:space="preserve"> </w:t>
      </w:r>
      <w:r w:rsidR="00A51552" w:rsidRPr="0038103B">
        <w:t>T</w:t>
      </w:r>
      <w:r w:rsidRPr="0038103B">
        <w:t xml:space="preserve">here </w:t>
      </w:r>
      <w:r w:rsidR="00A51552" w:rsidRPr="0038103B">
        <w:t>is also the issue of residency</w:t>
      </w:r>
      <w:r w:rsidRPr="0038103B">
        <w:t xml:space="preserve">. </w:t>
      </w:r>
    </w:p>
    <w:p w:rsidR="00D32DCA" w:rsidRPr="0038103B" w:rsidRDefault="00D32DCA" w:rsidP="00523518">
      <w:pPr>
        <w:pStyle w:val="ListParagraph"/>
        <w:ind w:left="-360" w:right="-450"/>
      </w:pPr>
    </w:p>
    <w:p w:rsidR="00D32DCA" w:rsidRPr="0038103B" w:rsidRDefault="00A51552" w:rsidP="00523518">
      <w:pPr>
        <w:pStyle w:val="ListParagraph"/>
        <w:ind w:left="-360" w:right="-450"/>
      </w:pPr>
      <w:r w:rsidRPr="0038103B">
        <w:rPr>
          <w:i/>
          <w:iCs/>
        </w:rPr>
        <w:t xml:space="preserve">Georgia </w:t>
      </w:r>
      <w:r w:rsidR="00D32DCA" w:rsidRPr="0038103B">
        <w:t xml:space="preserve">– </w:t>
      </w:r>
      <w:r w:rsidRPr="0038103B">
        <w:t>S</w:t>
      </w:r>
      <w:r w:rsidR="00D32DCA" w:rsidRPr="0038103B">
        <w:t xml:space="preserve">ervices are organized by community and if people reside outside of the community where they physician is, they will be referred to their own communities. </w:t>
      </w:r>
    </w:p>
    <w:p w:rsidR="00540326" w:rsidRPr="0038103B" w:rsidRDefault="00540326" w:rsidP="00523518">
      <w:pPr>
        <w:pStyle w:val="ListParagraph"/>
        <w:ind w:left="-360" w:right="-450"/>
      </w:pPr>
    </w:p>
    <w:p w:rsidR="00540326" w:rsidRPr="0038103B" w:rsidRDefault="00540326" w:rsidP="00523518">
      <w:pPr>
        <w:pStyle w:val="ListParagraph"/>
        <w:ind w:left="-360" w:right="-450"/>
      </w:pPr>
      <w:r w:rsidRPr="0038103B">
        <w:rPr>
          <w:i/>
          <w:iCs/>
        </w:rPr>
        <w:t>Andrew</w:t>
      </w:r>
      <w:r w:rsidRPr="0038103B">
        <w:t xml:space="preserve"> – </w:t>
      </w:r>
      <w:r w:rsidR="00A51552" w:rsidRPr="0038103B">
        <w:t>We are o</w:t>
      </w:r>
      <w:r w:rsidRPr="0038103B">
        <w:t xml:space="preserve">nly putting </w:t>
      </w:r>
      <w:r w:rsidR="00A51552" w:rsidRPr="0038103B">
        <w:t>AHP</w:t>
      </w:r>
      <w:r w:rsidRPr="0038103B">
        <w:t xml:space="preserve"> in a portion of our clinics. Where is the equity in that approach? </w:t>
      </w:r>
      <w:r w:rsidR="00A51552" w:rsidRPr="0038103B">
        <w:t>We n</w:t>
      </w:r>
      <w:r w:rsidRPr="0038103B">
        <w:t xml:space="preserve">eed messaging </w:t>
      </w:r>
      <w:r w:rsidR="00A51552" w:rsidRPr="0038103B">
        <w:t xml:space="preserve">to explain </w:t>
      </w:r>
      <w:r w:rsidRPr="0038103B">
        <w:t>to patients who do not qualify within the PCN region</w:t>
      </w:r>
      <w:r w:rsidR="00A51552" w:rsidRPr="0038103B">
        <w:t xml:space="preserve"> that the service may </w:t>
      </w:r>
      <w:r w:rsidRPr="0038103B">
        <w:t>available at another time</w:t>
      </w:r>
      <w:r w:rsidR="00A51552" w:rsidRPr="0038103B">
        <w:t xml:space="preserve"> in this location</w:t>
      </w:r>
      <w:r w:rsidRPr="0038103B">
        <w:t>, but not available now.</w:t>
      </w:r>
    </w:p>
    <w:p w:rsidR="00540326" w:rsidRPr="0038103B" w:rsidRDefault="00540326" w:rsidP="00523518">
      <w:pPr>
        <w:pStyle w:val="ListParagraph"/>
        <w:ind w:left="-360" w:right="-450"/>
      </w:pPr>
    </w:p>
    <w:p w:rsidR="00540326" w:rsidRPr="0038103B" w:rsidRDefault="00540326" w:rsidP="00523518">
      <w:pPr>
        <w:pStyle w:val="ListParagraph"/>
        <w:ind w:left="-360" w:right="-450"/>
      </w:pPr>
      <w:r w:rsidRPr="0038103B">
        <w:rPr>
          <w:i/>
          <w:iCs/>
        </w:rPr>
        <w:t>Georgia</w:t>
      </w:r>
      <w:r w:rsidRPr="0038103B">
        <w:t xml:space="preserve">– </w:t>
      </w:r>
      <w:r w:rsidR="00A51552" w:rsidRPr="0038103B">
        <w:t>We h</w:t>
      </w:r>
      <w:r w:rsidRPr="0038103B">
        <w:t xml:space="preserve">aven’t been calling </w:t>
      </w:r>
      <w:r w:rsidR="00E76190" w:rsidRPr="0038103B">
        <w:t xml:space="preserve">it </w:t>
      </w:r>
      <w:r w:rsidRPr="0038103B">
        <w:t>SDH, but heard very clearly from physicians that they need help with</w:t>
      </w:r>
      <w:r w:rsidR="00E76190" w:rsidRPr="0038103B">
        <w:t xml:space="preserve"> the</w:t>
      </w:r>
      <w:r w:rsidRPr="0038103B">
        <w:t xml:space="preserve"> ‘lower-to-middle triangle’.</w:t>
      </w:r>
      <w:r w:rsidR="005C0357" w:rsidRPr="0038103B">
        <w:t xml:space="preserve"> such as</w:t>
      </w:r>
      <w:r w:rsidR="00E76190" w:rsidRPr="0038103B">
        <w:t>: (1)</w:t>
      </w:r>
      <w:r w:rsidRPr="0038103B">
        <w:t xml:space="preserve"> lifestyle management group</w:t>
      </w:r>
      <w:r w:rsidR="00E76190" w:rsidRPr="0038103B">
        <w:t xml:space="preserve">– </w:t>
      </w:r>
      <w:r w:rsidR="001915E3" w:rsidRPr="0038103B">
        <w:t>(</w:t>
      </w:r>
      <w:r w:rsidR="00E76190" w:rsidRPr="0038103B">
        <w:t xml:space="preserve">all underpinned by </w:t>
      </w:r>
      <w:r w:rsidRPr="0038103B">
        <w:t>SDH); (2) mild to moderate mental health</w:t>
      </w:r>
      <w:r w:rsidR="00E76190" w:rsidRPr="0038103B">
        <w:t>;</w:t>
      </w:r>
      <w:r w:rsidRPr="0038103B">
        <w:t xml:space="preserve"> (3) chronic pain; (4) low income/economic pain (</w:t>
      </w:r>
      <w:r w:rsidR="00E76190" w:rsidRPr="0038103B">
        <w:t xml:space="preserve">need </w:t>
      </w:r>
      <w:r w:rsidRPr="0038103B">
        <w:t xml:space="preserve">social work support). </w:t>
      </w:r>
      <w:r w:rsidR="00E76190" w:rsidRPr="0038103B">
        <w:t xml:space="preserve">Our </w:t>
      </w:r>
      <w:r w:rsidRPr="0038103B">
        <w:t xml:space="preserve">service plan is </w:t>
      </w:r>
      <w:r w:rsidR="00E76190" w:rsidRPr="0038103B">
        <w:t xml:space="preserve">largely </w:t>
      </w:r>
      <w:r w:rsidRPr="0038103B">
        <w:t>design</w:t>
      </w:r>
      <w:r w:rsidR="00E76190" w:rsidRPr="0038103B">
        <w:t>ed</w:t>
      </w:r>
      <w:r w:rsidRPr="0038103B">
        <w:t xml:space="preserve"> </w:t>
      </w:r>
      <w:r w:rsidR="00E76190" w:rsidRPr="0038103B">
        <w:t>around</w:t>
      </w:r>
      <w:r w:rsidRPr="0038103B">
        <w:t xml:space="preserve"> </w:t>
      </w:r>
      <w:r w:rsidR="00E76190" w:rsidRPr="0038103B">
        <w:t xml:space="preserve">these </w:t>
      </w:r>
      <w:r w:rsidRPr="0038103B">
        <w:t xml:space="preserve">four </w:t>
      </w:r>
      <w:r w:rsidR="005C0357" w:rsidRPr="0038103B">
        <w:t>streams</w:t>
      </w:r>
      <w:r w:rsidR="00AE43D2" w:rsidRPr="0038103B">
        <w:t>.</w:t>
      </w:r>
      <w:r w:rsidR="00DE02E1" w:rsidRPr="0038103B">
        <w:t xml:space="preserve"> </w:t>
      </w:r>
      <w:r w:rsidR="005C0357" w:rsidRPr="0038103B">
        <w:t>We</w:t>
      </w:r>
      <w:r w:rsidR="00E76190" w:rsidRPr="0038103B">
        <w:t xml:space="preserve"> t</w:t>
      </w:r>
      <w:r w:rsidRPr="0038103B">
        <w:t xml:space="preserve">raded positions so we could buy more </w:t>
      </w:r>
      <w:r w:rsidR="00E76190" w:rsidRPr="0038103B">
        <w:t>AHP spaces</w:t>
      </w:r>
      <w:r w:rsidRPr="0038103B">
        <w:t xml:space="preserve">, aiming at a </w:t>
      </w:r>
      <w:r w:rsidR="001915E3" w:rsidRPr="0038103B">
        <w:t>holistic</w:t>
      </w:r>
      <w:r w:rsidRPr="0038103B">
        <w:t xml:space="preserve"> attachment target rather than tying </w:t>
      </w:r>
      <w:r w:rsidR="00E76190" w:rsidRPr="0038103B">
        <w:t xml:space="preserve">attachment </w:t>
      </w:r>
      <w:r w:rsidRPr="0038103B">
        <w:t>to specific resources. Communi</w:t>
      </w:r>
      <w:r w:rsidR="00E8508A" w:rsidRPr="0038103B">
        <w:t>t</w:t>
      </w:r>
      <w:r w:rsidRPr="0038103B">
        <w:t xml:space="preserve">y partners are on our steering table. </w:t>
      </w:r>
      <w:r w:rsidR="00E76190" w:rsidRPr="0038103B">
        <w:t xml:space="preserve">We have begun with process with mental health, but are finding it a challenge to integrate </w:t>
      </w:r>
      <w:r w:rsidRPr="0038103B">
        <w:t xml:space="preserve">community services. </w:t>
      </w:r>
    </w:p>
    <w:p w:rsidR="00E8508A" w:rsidRPr="0038103B" w:rsidRDefault="00E8508A" w:rsidP="00523518">
      <w:pPr>
        <w:pStyle w:val="ListParagraph"/>
        <w:ind w:left="-360" w:right="-450"/>
      </w:pPr>
    </w:p>
    <w:p w:rsidR="00E86E26" w:rsidRPr="0038103B" w:rsidRDefault="00E86E26" w:rsidP="00523518">
      <w:pPr>
        <w:pStyle w:val="ListParagraph"/>
        <w:ind w:left="-360" w:right="-450"/>
      </w:pPr>
      <w:r w:rsidRPr="0038103B">
        <w:rPr>
          <w:i/>
          <w:iCs/>
        </w:rPr>
        <w:t>Georgia</w:t>
      </w:r>
      <w:r w:rsidRPr="0038103B">
        <w:t xml:space="preserve"> – </w:t>
      </w:r>
      <w:r w:rsidR="00E76190" w:rsidRPr="0038103B">
        <w:t xml:space="preserve">We </w:t>
      </w:r>
      <w:r w:rsidRPr="0038103B">
        <w:t>have position</w:t>
      </w:r>
      <w:r w:rsidR="00E76190" w:rsidRPr="0038103B">
        <w:t>ed</w:t>
      </w:r>
      <w:r w:rsidRPr="0038103B">
        <w:t xml:space="preserve"> PCN as an integral component of the wellness strategy of the City of Burnaby, which is already a multi-agency table to support wellness. </w:t>
      </w:r>
    </w:p>
    <w:p w:rsidR="00E86E26" w:rsidRPr="0038103B" w:rsidRDefault="00E86E26" w:rsidP="00523518">
      <w:pPr>
        <w:pStyle w:val="ListParagraph"/>
        <w:ind w:left="-360" w:right="-450"/>
      </w:pPr>
    </w:p>
    <w:p w:rsidR="00E86E26" w:rsidRPr="0038103B" w:rsidRDefault="00E86E26" w:rsidP="00523518">
      <w:pPr>
        <w:pStyle w:val="ListParagraph"/>
        <w:ind w:left="-360" w:right="-450"/>
      </w:pPr>
      <w:r w:rsidRPr="0038103B">
        <w:rPr>
          <w:i/>
          <w:iCs/>
        </w:rPr>
        <w:t>Nicole</w:t>
      </w:r>
      <w:r w:rsidRPr="0038103B">
        <w:t xml:space="preserve"> (PNW) –</w:t>
      </w:r>
      <w:r w:rsidR="00E76190" w:rsidRPr="0038103B">
        <w:t xml:space="preserve"> </w:t>
      </w:r>
      <w:r w:rsidRPr="0038103B">
        <w:t xml:space="preserve">We are focused on working with community partners. SDH is interwoven into all </w:t>
      </w:r>
      <w:r w:rsidR="00E76190" w:rsidRPr="0038103B">
        <w:t xml:space="preserve">our </w:t>
      </w:r>
      <w:r w:rsidRPr="0038103B">
        <w:t>work</w:t>
      </w:r>
      <w:r w:rsidR="00E76190" w:rsidRPr="0038103B">
        <w:t>, including w</w:t>
      </w:r>
      <w:r w:rsidRPr="0038103B">
        <w:t xml:space="preserve">ith </w:t>
      </w:r>
      <w:r w:rsidR="00E76190" w:rsidRPr="0038103B">
        <w:t xml:space="preserve">the </w:t>
      </w:r>
      <w:r w:rsidRPr="0038103B">
        <w:t xml:space="preserve">Friendship Centre, poverty reduction, housing, Indigenous partners (majority of unattached patients). </w:t>
      </w:r>
      <w:r w:rsidR="00E76190" w:rsidRPr="0038103B">
        <w:t xml:space="preserve">SDH does not form </w:t>
      </w:r>
      <w:r w:rsidRPr="0038103B">
        <w:t xml:space="preserve">a specific target, </w:t>
      </w:r>
      <w:r w:rsidR="00E76190" w:rsidRPr="0038103B">
        <w:t xml:space="preserve">but is </w:t>
      </w:r>
      <w:r w:rsidRPr="0038103B">
        <w:t>part of the overall work.</w:t>
      </w:r>
    </w:p>
    <w:p w:rsidR="00E86E26" w:rsidRPr="0038103B" w:rsidRDefault="00E86E26" w:rsidP="00523518">
      <w:pPr>
        <w:pStyle w:val="ListParagraph"/>
        <w:ind w:left="-360" w:right="-450"/>
      </w:pPr>
    </w:p>
    <w:p w:rsidR="00E86E26" w:rsidRPr="0038103B" w:rsidRDefault="00E86E26" w:rsidP="00523518">
      <w:pPr>
        <w:pStyle w:val="ListParagraph"/>
        <w:ind w:left="-360" w:right="-450"/>
      </w:pPr>
      <w:r w:rsidRPr="0038103B">
        <w:rPr>
          <w:i/>
          <w:iCs/>
        </w:rPr>
        <w:t xml:space="preserve">Andrew </w:t>
      </w:r>
      <w:r w:rsidRPr="0038103B">
        <w:t>–</w:t>
      </w:r>
      <w:r w:rsidR="00E76190" w:rsidRPr="0038103B">
        <w:t xml:space="preserve"> </w:t>
      </w:r>
      <w:r w:rsidRPr="0038103B">
        <w:t>Feel we are in a dance, aiming at an attachment target to which we have to ta</w:t>
      </w:r>
      <w:r w:rsidR="00E76190" w:rsidRPr="0038103B">
        <w:t>i</w:t>
      </w:r>
      <w:r w:rsidRPr="0038103B">
        <w:t xml:space="preserve">lor SDH. </w:t>
      </w:r>
      <w:r w:rsidR="00C36D09" w:rsidRPr="0038103B">
        <w:t>We d</w:t>
      </w:r>
      <w:r w:rsidRPr="0038103B">
        <w:t>on’t feel we can meet attachment target</w:t>
      </w:r>
      <w:r w:rsidR="00C36D09" w:rsidRPr="0038103B">
        <w:t>s</w:t>
      </w:r>
      <w:r w:rsidRPr="0038103B">
        <w:t xml:space="preserve"> without more resources, and </w:t>
      </w:r>
      <w:r w:rsidR="00C36D09" w:rsidRPr="0038103B">
        <w:t xml:space="preserve">we </w:t>
      </w:r>
      <w:r w:rsidRPr="0038103B">
        <w:t xml:space="preserve">won’t get more resources until we land </w:t>
      </w:r>
      <w:r w:rsidR="00C36D09" w:rsidRPr="0038103B">
        <w:t xml:space="preserve">the </w:t>
      </w:r>
      <w:r w:rsidRPr="0038103B">
        <w:t xml:space="preserve">attachment target. </w:t>
      </w:r>
    </w:p>
    <w:p w:rsidR="00E86E26" w:rsidRPr="0038103B" w:rsidRDefault="00E86E26" w:rsidP="00523518">
      <w:pPr>
        <w:pStyle w:val="ListParagraph"/>
        <w:ind w:left="-360" w:right="-450"/>
      </w:pPr>
    </w:p>
    <w:p w:rsidR="00E86E26" w:rsidRPr="0038103B" w:rsidRDefault="00E86E26" w:rsidP="00523518">
      <w:pPr>
        <w:pStyle w:val="ListParagraph"/>
        <w:ind w:left="-360" w:right="-450"/>
      </w:pPr>
      <w:r w:rsidRPr="0038103B">
        <w:rPr>
          <w:i/>
          <w:iCs/>
        </w:rPr>
        <w:t>Georgia</w:t>
      </w:r>
      <w:r w:rsidRPr="0038103B">
        <w:t xml:space="preserve"> –</w:t>
      </w:r>
      <w:r w:rsidR="004660D3" w:rsidRPr="0038103B">
        <w:t>W</w:t>
      </w:r>
      <w:r w:rsidR="00C36D09" w:rsidRPr="0038103B">
        <w:t>e are w</w:t>
      </w:r>
      <w:r w:rsidR="004660D3" w:rsidRPr="0038103B">
        <w:t>orking with</w:t>
      </w:r>
      <w:r w:rsidR="00C36D09" w:rsidRPr="0038103B">
        <w:t xml:space="preserve"> our</w:t>
      </w:r>
      <w:r w:rsidR="004660D3" w:rsidRPr="0038103B">
        <w:t xml:space="preserve"> HA to set parameters for who qualifies for the services</w:t>
      </w:r>
      <w:r w:rsidR="00C36D09" w:rsidRPr="0038103B">
        <w:t xml:space="preserve">, and feel we will reach our targets, but it cannot be done by focusing on one-to-one attachments. We </w:t>
      </w:r>
      <w:r w:rsidR="004660D3" w:rsidRPr="0038103B">
        <w:t xml:space="preserve">believe we will hit </w:t>
      </w:r>
      <w:r w:rsidR="00C36D09" w:rsidRPr="0038103B">
        <w:t xml:space="preserve">our </w:t>
      </w:r>
      <w:r w:rsidR="004660D3" w:rsidRPr="0038103B">
        <w:t xml:space="preserve">target by paying attention to a composite of things that are important to patients. </w:t>
      </w:r>
    </w:p>
    <w:p w:rsidR="00E359AA" w:rsidRPr="0038103B" w:rsidRDefault="00E359AA" w:rsidP="00523518">
      <w:pPr>
        <w:pStyle w:val="ListParagraph"/>
        <w:ind w:left="-360" w:right="-450"/>
      </w:pPr>
    </w:p>
    <w:p w:rsidR="00807514" w:rsidRPr="0038103B" w:rsidRDefault="00C36D09" w:rsidP="00523518">
      <w:pPr>
        <w:pStyle w:val="ListParagraph"/>
        <w:numPr>
          <w:ilvl w:val="0"/>
          <w:numId w:val="3"/>
        </w:numPr>
        <w:ind w:left="-360" w:right="-450"/>
      </w:pPr>
      <w:r w:rsidRPr="0038103B">
        <w:rPr>
          <w:b/>
          <w:bCs/>
        </w:rPr>
        <w:t>Summary of issues raised</w:t>
      </w:r>
      <w:r w:rsidR="00807514" w:rsidRPr="0038103B">
        <w:t xml:space="preserve">: </w:t>
      </w:r>
    </w:p>
    <w:p w:rsidR="00C4044B" w:rsidRPr="0038103B" w:rsidRDefault="00C36D09" w:rsidP="00523518">
      <w:pPr>
        <w:pStyle w:val="ListParagraph"/>
        <w:numPr>
          <w:ilvl w:val="0"/>
          <w:numId w:val="4"/>
        </w:numPr>
        <w:ind w:left="-360" w:right="-450"/>
      </w:pPr>
      <w:r w:rsidRPr="0038103B">
        <w:rPr>
          <w:i/>
          <w:iCs/>
        </w:rPr>
        <w:t>Challenge:</w:t>
      </w:r>
      <w:r w:rsidR="004660D3" w:rsidRPr="0038103B">
        <w:rPr>
          <w:i/>
          <w:iCs/>
        </w:rPr>
        <w:t xml:space="preserve"> how </w:t>
      </w:r>
      <w:r w:rsidRPr="0038103B">
        <w:rPr>
          <w:i/>
          <w:iCs/>
        </w:rPr>
        <w:t>to</w:t>
      </w:r>
      <w:r w:rsidR="004660D3" w:rsidRPr="0038103B">
        <w:rPr>
          <w:i/>
          <w:iCs/>
        </w:rPr>
        <w:t xml:space="preserve"> address SDH and still meet attachment targets</w:t>
      </w:r>
      <w:r w:rsidRPr="0038103B">
        <w:rPr>
          <w:i/>
          <w:iCs/>
        </w:rPr>
        <w:t>?</w:t>
      </w:r>
      <w:r w:rsidR="004660D3" w:rsidRPr="0038103B">
        <w:rPr>
          <w:i/>
          <w:iCs/>
        </w:rPr>
        <w:t xml:space="preserve"> </w:t>
      </w:r>
      <w:r w:rsidR="004660D3" w:rsidRPr="0038103B">
        <w:t xml:space="preserve">How </w:t>
      </w:r>
      <w:r w:rsidRPr="0038103B">
        <w:t>can the funding formula, based on attaching patients, be used to address patients with complex needs?</w:t>
      </w:r>
      <w:r w:rsidR="004660D3" w:rsidRPr="0038103B">
        <w:t xml:space="preserve"> </w:t>
      </w:r>
      <w:r w:rsidRPr="0038103B">
        <w:t xml:space="preserve">One strategy: </w:t>
      </w:r>
      <w:r w:rsidR="004660D3" w:rsidRPr="0038103B">
        <w:t xml:space="preserve">engage physicians in developing the plans. </w:t>
      </w:r>
    </w:p>
    <w:p w:rsidR="004660D3" w:rsidRPr="0038103B" w:rsidRDefault="005710F2" w:rsidP="00523518">
      <w:pPr>
        <w:pStyle w:val="ListParagraph"/>
        <w:numPr>
          <w:ilvl w:val="0"/>
          <w:numId w:val="4"/>
        </w:numPr>
        <w:ind w:left="-360" w:right="-450"/>
      </w:pPr>
      <w:r w:rsidRPr="0038103B">
        <w:rPr>
          <w:i/>
          <w:iCs/>
        </w:rPr>
        <w:t>Using SDH</w:t>
      </w:r>
      <w:r w:rsidR="00C36D09" w:rsidRPr="0038103B">
        <w:rPr>
          <w:i/>
          <w:iCs/>
        </w:rPr>
        <w:t xml:space="preserve"> language</w:t>
      </w:r>
      <w:r w:rsidR="00C36D09" w:rsidRPr="0038103B">
        <w:t xml:space="preserve"> – Divisions frequently talk about addressing SDH without naming them as such. There may be a benefit to explicit</w:t>
      </w:r>
      <w:r w:rsidR="00C4044B" w:rsidRPr="0038103B">
        <w:t xml:space="preserve">ly naming SDH work </w:t>
      </w:r>
      <w:r w:rsidR="004660D3" w:rsidRPr="0038103B">
        <w:t xml:space="preserve">in communications to </w:t>
      </w:r>
      <w:r w:rsidR="00C4044B" w:rsidRPr="0038103B">
        <w:t xml:space="preserve">the </w:t>
      </w:r>
      <w:r w:rsidR="004660D3" w:rsidRPr="0038103B">
        <w:t>Ministry, to make a better case for funding for these services</w:t>
      </w:r>
      <w:r w:rsidR="00C4044B" w:rsidRPr="0038103B">
        <w:t xml:space="preserve">. </w:t>
      </w:r>
      <w:r w:rsidR="0098420B" w:rsidRPr="0038103B">
        <w:t>If we could find a way to articulate this piece and the role of community, perhaps future proposals could be more successful.</w:t>
      </w:r>
      <w:r w:rsidR="00C4044B" w:rsidRPr="0038103B">
        <w:t xml:space="preserve"> </w:t>
      </w:r>
      <w:r w:rsidR="004660D3" w:rsidRPr="0038103B">
        <w:t xml:space="preserve"> </w:t>
      </w:r>
    </w:p>
    <w:p w:rsidR="00E359AA" w:rsidRPr="0038103B" w:rsidRDefault="00E359AA" w:rsidP="00523518">
      <w:pPr>
        <w:pStyle w:val="ListParagraph"/>
        <w:ind w:left="-360" w:right="-450"/>
      </w:pPr>
    </w:p>
    <w:p w:rsidR="00C4044B" w:rsidRPr="0038103B" w:rsidRDefault="00807514" w:rsidP="00523518">
      <w:pPr>
        <w:pStyle w:val="ListParagraph"/>
        <w:numPr>
          <w:ilvl w:val="0"/>
          <w:numId w:val="3"/>
        </w:numPr>
        <w:ind w:left="-360" w:right="-450"/>
      </w:pPr>
      <w:r w:rsidRPr="0038103B">
        <w:rPr>
          <w:b/>
          <w:bCs/>
        </w:rPr>
        <w:t>Wrap-up/Future Agenda</w:t>
      </w:r>
      <w:r w:rsidR="004660D3" w:rsidRPr="0038103B">
        <w:t xml:space="preserve">: </w:t>
      </w:r>
    </w:p>
    <w:p w:rsidR="00022D0C" w:rsidRPr="0038103B" w:rsidRDefault="00C4044B" w:rsidP="00523518">
      <w:pPr>
        <w:pStyle w:val="ListParagraph"/>
        <w:ind w:left="-360" w:right="-450"/>
      </w:pPr>
      <w:r w:rsidRPr="0038103B">
        <w:t>Suggestion that there be a stream on SDH at the fall</w:t>
      </w:r>
      <w:r w:rsidR="00022D0C" w:rsidRPr="0038103B">
        <w:t xml:space="preserve"> GPSC Divisions Event. Paula noted that SDH did not com</w:t>
      </w:r>
      <w:bookmarkStart w:id="1" w:name="_GoBack"/>
      <w:bookmarkEnd w:id="1"/>
      <w:r w:rsidR="00022D0C" w:rsidRPr="0038103B">
        <w:t xml:space="preserve">e up in </w:t>
      </w:r>
      <w:r w:rsidRPr="0038103B">
        <w:t xml:space="preserve">the </w:t>
      </w:r>
      <w:r w:rsidR="00022D0C" w:rsidRPr="0038103B">
        <w:t xml:space="preserve">focus group, but </w:t>
      </w:r>
      <w:r w:rsidRPr="0038103B">
        <w:t xml:space="preserve">she </w:t>
      </w:r>
      <w:r w:rsidR="00022D0C" w:rsidRPr="0038103B">
        <w:t xml:space="preserve">could put that suggestion forward. </w:t>
      </w:r>
    </w:p>
    <w:p w:rsidR="00022D0C" w:rsidRPr="0038103B" w:rsidRDefault="00022D0C" w:rsidP="00523518">
      <w:pPr>
        <w:pStyle w:val="ListParagraph"/>
        <w:ind w:left="-360" w:right="-450"/>
      </w:pPr>
    </w:p>
    <w:p w:rsidR="00485040" w:rsidRPr="0038103B" w:rsidRDefault="00A56419" w:rsidP="00523518">
      <w:pPr>
        <w:ind w:left="-360" w:right="-450"/>
        <w:rPr>
          <w:b/>
          <w:sz w:val="26"/>
          <w:szCs w:val="26"/>
        </w:rPr>
      </w:pPr>
      <w:r w:rsidRPr="0038103B">
        <w:rPr>
          <w:b/>
          <w:sz w:val="26"/>
          <w:szCs w:val="26"/>
        </w:rPr>
        <w:t>The next meeting will take place on Thursday, September 26 at 7:30-8:30</w:t>
      </w:r>
      <w:r w:rsidR="00A60A34">
        <w:rPr>
          <w:b/>
          <w:sz w:val="26"/>
          <w:szCs w:val="26"/>
        </w:rPr>
        <w:t>am</w:t>
      </w:r>
      <w:r w:rsidRPr="0038103B">
        <w:rPr>
          <w:b/>
          <w:sz w:val="26"/>
          <w:szCs w:val="26"/>
        </w:rPr>
        <w:t xml:space="preserve"> PDT.  </w:t>
      </w:r>
      <w:r w:rsidR="00EE566F" w:rsidRPr="0038103B">
        <w:t>C</w:t>
      </w:r>
      <w:r w:rsidR="00807514" w:rsidRPr="0038103B">
        <w:t>hair and focus topic</w:t>
      </w:r>
      <w:r w:rsidR="00EE566F" w:rsidRPr="0038103B">
        <w:t xml:space="preserve"> to be determined</w:t>
      </w:r>
      <w:r w:rsidR="00E11378" w:rsidRPr="0038103B">
        <w:t xml:space="preserve">. </w:t>
      </w:r>
    </w:p>
    <w:sectPr w:rsidR="00485040" w:rsidRPr="0038103B" w:rsidSect="0052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65" w:rsidRDefault="00C37865" w:rsidP="001F57A4">
      <w:pPr>
        <w:spacing w:before="0"/>
      </w:pPr>
      <w:r>
        <w:separator/>
      </w:r>
    </w:p>
  </w:endnote>
  <w:endnote w:type="continuationSeparator" w:id="0">
    <w:p w:rsidR="00C37865" w:rsidRDefault="00C37865" w:rsidP="001F57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1F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1F5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1F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65" w:rsidRDefault="00C37865" w:rsidP="001F57A4">
      <w:pPr>
        <w:spacing w:before="0"/>
      </w:pPr>
      <w:r>
        <w:separator/>
      </w:r>
    </w:p>
  </w:footnote>
  <w:footnote w:type="continuationSeparator" w:id="0">
    <w:p w:rsidR="00C37865" w:rsidRDefault="00C37865" w:rsidP="001F57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1F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144723"/>
      <w:docPartObj>
        <w:docPartGallery w:val="Watermarks"/>
        <w:docPartUnique/>
      </w:docPartObj>
    </w:sdtPr>
    <w:sdtEndPr/>
    <w:sdtContent>
      <w:p w:rsidR="001F57A4" w:rsidRDefault="00C37865">
        <w:pPr>
          <w:pStyle w:val="Header"/>
        </w:pPr>
        <w:r>
          <w:rPr>
            <w:noProof/>
          </w:rPr>
          <w:pict w14:anchorId="1892D4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A4" w:rsidRDefault="001F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71"/>
    <w:multiLevelType w:val="hybridMultilevel"/>
    <w:tmpl w:val="83942A14"/>
    <w:lvl w:ilvl="0" w:tplc="AFBE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264"/>
    <w:multiLevelType w:val="hybridMultilevel"/>
    <w:tmpl w:val="571A1136"/>
    <w:lvl w:ilvl="0" w:tplc="0960F598">
      <w:start w:val="1"/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6B4EF3"/>
    <w:multiLevelType w:val="hybridMultilevel"/>
    <w:tmpl w:val="1D186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4"/>
    <w:rsid w:val="00022D0C"/>
    <w:rsid w:val="00092773"/>
    <w:rsid w:val="00144609"/>
    <w:rsid w:val="001915E3"/>
    <w:rsid w:val="001B0170"/>
    <w:rsid w:val="001F57A4"/>
    <w:rsid w:val="002F087A"/>
    <w:rsid w:val="0030509B"/>
    <w:rsid w:val="0038103B"/>
    <w:rsid w:val="003F229B"/>
    <w:rsid w:val="00414C6B"/>
    <w:rsid w:val="004660D3"/>
    <w:rsid w:val="00471CFD"/>
    <w:rsid w:val="00485040"/>
    <w:rsid w:val="004E1A3B"/>
    <w:rsid w:val="004F7F20"/>
    <w:rsid w:val="00523518"/>
    <w:rsid w:val="005327F4"/>
    <w:rsid w:val="00540326"/>
    <w:rsid w:val="005710F2"/>
    <w:rsid w:val="005A4D34"/>
    <w:rsid w:val="005C0357"/>
    <w:rsid w:val="00681803"/>
    <w:rsid w:val="0069024F"/>
    <w:rsid w:val="00691BA6"/>
    <w:rsid w:val="00807514"/>
    <w:rsid w:val="00811C41"/>
    <w:rsid w:val="008E48DF"/>
    <w:rsid w:val="0092285E"/>
    <w:rsid w:val="009569B3"/>
    <w:rsid w:val="0096125D"/>
    <w:rsid w:val="0098420B"/>
    <w:rsid w:val="00A51552"/>
    <w:rsid w:val="00A56419"/>
    <w:rsid w:val="00A60A34"/>
    <w:rsid w:val="00AE43D2"/>
    <w:rsid w:val="00B63F7E"/>
    <w:rsid w:val="00B84AE8"/>
    <w:rsid w:val="00BF56BC"/>
    <w:rsid w:val="00C36D09"/>
    <w:rsid w:val="00C37865"/>
    <w:rsid w:val="00C4044B"/>
    <w:rsid w:val="00CF3050"/>
    <w:rsid w:val="00D32DCA"/>
    <w:rsid w:val="00D849ED"/>
    <w:rsid w:val="00DE02E1"/>
    <w:rsid w:val="00E03488"/>
    <w:rsid w:val="00E11378"/>
    <w:rsid w:val="00E359AA"/>
    <w:rsid w:val="00E4291F"/>
    <w:rsid w:val="00E76190"/>
    <w:rsid w:val="00E8508A"/>
    <w:rsid w:val="00E86E26"/>
    <w:rsid w:val="00EE566F"/>
    <w:rsid w:val="00EE6037"/>
    <w:rsid w:val="00F34786"/>
    <w:rsid w:val="00F41837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A553B"/>
  <w15:chartTrackingRefBased/>
  <w15:docId w15:val="{490440FB-B804-47B0-B8EE-0ECB11B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F7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F34786"/>
    <w:pPr>
      <w:spacing w:before="0"/>
      <w:ind w:left="397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A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F57A4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1F57A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F57A4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9228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0B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A3C2852D</Template>
  <TotalTime>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Keenan, Jennifer</cp:lastModifiedBy>
  <cp:revision>3</cp:revision>
  <dcterms:created xsi:type="dcterms:W3CDTF">2019-07-11T16:43:00Z</dcterms:created>
  <dcterms:modified xsi:type="dcterms:W3CDTF">2019-07-12T17:13:00Z</dcterms:modified>
</cp:coreProperties>
</file>